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w:t>
      </w:r>
      <w:bookmarkStart w:id="0" w:name="_GoBack"/>
      <w:bookmarkEnd w:id="0"/>
      <w:r w:rsidRPr="00F64E9C">
        <w:rPr>
          <w:rFonts w:ascii="Calibri" w:hAnsi="Calibri"/>
          <w:sz w:val="22"/>
          <w:szCs w:val="22"/>
        </w:rPr>
        <w:t>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14:anchorId="6A34B929" wp14:editId="03B05681">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14:anchorId="1EF348F7" wp14:editId="7642E4BF">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7F4E7C5A" wp14:editId="01058A66">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14:anchorId="4C9B2EB7" wp14:editId="785BFD2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14:anchorId="7C0B5180" wp14:editId="59428C6A">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14:anchorId="6911B485" wp14:editId="67472F6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14:anchorId="30F166A5" wp14:editId="37FB8994">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14:anchorId="47D9D11A" wp14:editId="0A37A039">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14:anchorId="130A7304" wp14:editId="12EB1ECC">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E4" w:rsidRDefault="002F7BE4" w:rsidP="00FE2590">
      <w:r>
        <w:separator/>
      </w:r>
    </w:p>
  </w:endnote>
  <w:endnote w:type="continuationSeparator" w:id="0">
    <w:p w:rsidR="002F7BE4" w:rsidRDefault="002F7BE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0A7059">
      <w:rPr>
        <w:rFonts w:ascii="Calibri" w:hAnsi="Calibri"/>
        <w:noProof/>
        <w:sz w:val="20"/>
        <w:szCs w:val="20"/>
      </w:rPr>
      <w:t>27</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0A7059">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E4" w:rsidRDefault="002F7BE4" w:rsidP="00FE2590">
      <w:r>
        <w:separator/>
      </w:r>
    </w:p>
  </w:footnote>
  <w:footnote w:type="continuationSeparator" w:id="0">
    <w:p w:rsidR="002F7BE4" w:rsidRDefault="002F7BE4"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94" w:rsidRDefault="0052772F">
    <w:pPr>
      <w:pStyle w:val="Nagwek"/>
    </w:pPr>
    <w:r>
      <w:rPr>
        <w:noProof/>
      </w:rPr>
      <w:drawing>
        <wp:inline distT="0" distB="0" distL="0" distR="0" wp14:anchorId="3E12FC97" wp14:editId="79711228">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94" w:rsidRDefault="0052772F">
    <w:pPr>
      <w:pStyle w:val="Nagwek"/>
    </w:pPr>
    <w:r>
      <w:rPr>
        <w:noProof/>
      </w:rPr>
      <w:drawing>
        <wp:inline distT="0" distB="0" distL="0" distR="0" wp14:anchorId="01D2788E" wp14:editId="026781FB">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49620-0B70-44EE-A277-C23DD439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12895</Words>
  <Characters>77371</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Banach Łukasz</cp:lastModifiedBy>
  <cp:revision>4</cp:revision>
  <cp:lastPrinted>2017-09-22T09:39:00Z</cp:lastPrinted>
  <dcterms:created xsi:type="dcterms:W3CDTF">2017-10-05T07:36:00Z</dcterms:created>
  <dcterms:modified xsi:type="dcterms:W3CDTF">2018-01-23T12:06:00Z</dcterms:modified>
</cp:coreProperties>
</file>