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B10A85" w:rsidRPr="004341CF" w:rsidTr="007D7416">
        <w:trPr>
          <w:trHeight w:val="408"/>
        </w:trPr>
        <w:tc>
          <w:tcPr>
            <w:tcW w:w="7799" w:type="dxa"/>
            <w:noWrap/>
            <w:vAlign w:val="bottom"/>
            <w:hideMark/>
          </w:tcPr>
          <w:p w:rsidR="00B10A85" w:rsidRPr="004341CF" w:rsidRDefault="00B10A85" w:rsidP="007D7416">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B10A85" w:rsidRPr="00214DF8" w:rsidTr="007D7416">
        <w:trPr>
          <w:trHeight w:val="276"/>
        </w:trPr>
        <w:tc>
          <w:tcPr>
            <w:tcW w:w="15310" w:type="dxa"/>
            <w:gridSpan w:val="2"/>
            <w:noWrap/>
            <w:vAlign w:val="bottom"/>
          </w:tcPr>
          <w:p w:rsidR="00B10A85" w:rsidRPr="00214DF8" w:rsidRDefault="00B10A85" w:rsidP="007D7416">
            <w:pPr>
              <w:spacing w:after="0" w:line="240" w:lineRule="auto"/>
              <w:rPr>
                <w:rFonts w:eastAsia="Times New Roman"/>
                <w:color w:val="000000"/>
                <w:sz w:val="16"/>
                <w:szCs w:val="16"/>
                <w:lang w:eastAsia="pl-PL"/>
              </w:rPr>
            </w:pPr>
          </w:p>
        </w:tc>
      </w:tr>
      <w:tr w:rsidR="00B10A85" w:rsidRPr="004341CF" w:rsidTr="007D7416">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C3745" w:rsidRDefault="00B10A85" w:rsidP="007D7416">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B10A85" w:rsidRDefault="00B10A85" w:rsidP="00B10A85">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B10A85" w:rsidRPr="004341CF" w:rsidTr="007D7416">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B10A85" w:rsidRPr="004341CF" w:rsidTr="007D7416">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439"/>
        </w:trPr>
        <w:tc>
          <w:tcPr>
            <w:tcW w:w="56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B10A85" w:rsidRPr="00F628CE" w:rsidRDefault="00B10A85" w:rsidP="007D7416">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B10A85" w:rsidRPr="004341CF" w:rsidTr="007D7416">
        <w:trPr>
          <w:trHeight w:val="78"/>
        </w:trPr>
        <w:tc>
          <w:tcPr>
            <w:tcW w:w="56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9B273D">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AB6196" w:rsidRDefault="00B10A85" w:rsidP="009B273D">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B6196" w:rsidRDefault="00B10A85" w:rsidP="007D7416">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9B273D">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0A85" w:rsidRPr="003973B6"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9B273D">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827333" w:rsidRDefault="00B10A85" w:rsidP="009B273D">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C5114A" w:rsidRDefault="00B10A85" w:rsidP="009B273D">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C5114A" w:rsidRDefault="00B10A85" w:rsidP="007D7416">
            <w:pPr>
              <w:spacing w:after="0" w:line="240" w:lineRule="auto"/>
              <w:rPr>
                <w:color w:val="000000" w:themeColor="text1"/>
                <w:sz w:val="20"/>
                <w:szCs w:val="20"/>
              </w:rPr>
            </w:pPr>
            <w:r w:rsidRPr="00C5114A">
              <w:rPr>
                <w:rFonts w:ascii="Times New Roman" w:hAnsi="Times New Roman"/>
                <w:color w:val="000000" w:themeColor="text1"/>
                <w:sz w:val="20"/>
                <w:szCs w:val="20"/>
              </w:rPr>
              <w:t>Operacja jest zgodna z warunkami wyboru operacji, o których mowaw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A1</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417CC5" w:rsidP="007D7416">
            <w:r>
              <w:rPr>
                <w:noProof/>
                <w:lang w:eastAsia="en-US"/>
              </w:rPr>
              <w:pict>
                <v:group id="Group 7" o:spid="_x0000_s1064" style="position:absolute;margin-left:15.7pt;margin-top:4.25pt;width:545.45pt;height:25.55pt;z-index:25165926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65"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6230F" w:rsidRDefault="00A6230F" w:rsidP="00B10A85"/>
                      </w:txbxContent>
                    </v:textbox>
                  </v:shape>
                  <v:shape id="Text Box 9" o:spid="_x0000_s1066"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6230F" w:rsidRDefault="00A6230F" w:rsidP="00B10A85"/>
                      </w:txbxContent>
                    </v:textbox>
                  </v:shape>
                  <v:shape id="Text Box 10" o:spid="_x0000_s1067"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6230F" w:rsidRDefault="00A6230F" w:rsidP="00B10A85">
                          <w:pPr>
                            <w:jc w:val="center"/>
                          </w:pPr>
                        </w:p>
                      </w:txbxContent>
                    </v:textbox>
                  </v:shape>
                  <v:shape id="Text Box 11" o:spid="_x0000_s1068"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6230F" w:rsidRDefault="00A6230F" w:rsidP="00B10A85"/>
                      </w:txbxContent>
                    </v:textbox>
                  </v:shape>
                  <v:shape id="Text Box 12" o:spid="_x0000_s1069"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6230F" w:rsidRDefault="00A6230F" w:rsidP="00B10A85"/>
                      </w:txbxContent>
                    </v:textbox>
                  </v:shape>
                  <v:shape id="Text Box 13" o:spid="_x0000_s1070"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6230F" w:rsidRDefault="00A6230F"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lastRenderedPageBreak/>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B10A85" w:rsidRPr="004341CF" w:rsidTr="007D7416">
        <w:trPr>
          <w:trHeight w:hRule="exact" w:val="181"/>
        </w:trPr>
        <w:tc>
          <w:tcPr>
            <w:tcW w:w="15310" w:type="dxa"/>
            <w:noWrap/>
            <w:vAlign w:val="bottom"/>
          </w:tcPr>
          <w:p w:rsidR="00B10A85" w:rsidRPr="004341CF" w:rsidRDefault="00B10A85" w:rsidP="007D7416">
            <w:pPr>
              <w:spacing w:after="0" w:line="240" w:lineRule="auto"/>
              <w:rPr>
                <w:rFonts w:eastAsia="Times New Roman"/>
                <w:color w:val="000000"/>
                <w:sz w:val="20"/>
                <w:szCs w:val="20"/>
                <w:lang w:eastAsia="pl-PL"/>
              </w:rPr>
            </w:pPr>
          </w:p>
        </w:tc>
      </w:tr>
      <w:tr w:rsidR="00B10A85" w:rsidRPr="004341CF" w:rsidTr="007D7416">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B10A85" w:rsidRPr="004341CF" w:rsidTr="007D7416">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7B0797"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844D4" w:rsidRDefault="00B10A85" w:rsidP="007D7416">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B10A85" w:rsidTr="007D7416">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Pr="00A90119" w:rsidRDefault="00B10A85" w:rsidP="007D7416">
            <w:pPr>
              <w:rPr>
                <w:b/>
              </w:rPr>
            </w:pPr>
            <w:r w:rsidRPr="00877F39">
              <w:rPr>
                <w:b/>
              </w:rPr>
              <w:t xml:space="preserve">Operacja spełnia </w:t>
            </w:r>
            <w:r>
              <w:rPr>
                <w:b/>
              </w:rPr>
              <w:t>ocenę zgodności z LSR - Część</w:t>
            </w:r>
            <w:r w:rsidRPr="00877F39">
              <w:rPr>
                <w:b/>
              </w:rPr>
              <w:t xml:space="preserve"> A</w:t>
            </w:r>
            <w:r>
              <w:rPr>
                <w:b/>
              </w:rPr>
              <w:t>2</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B10A85" w:rsidRPr="00410451" w:rsidRDefault="00B10A85" w:rsidP="007D7416">
            <w:pPr>
              <w:jc w:val="center"/>
              <w:rPr>
                <w:b/>
                <w:sz w:val="18"/>
                <w:szCs w:val="18"/>
              </w:rPr>
            </w:pP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2048" w:type="dxa"/>
            <w:gridSpan w:val="8"/>
            <w:tcBorders>
              <w:top w:val="nil"/>
              <w:left w:val="nil"/>
              <w:bottom w:val="single" w:sz="4" w:space="0" w:color="auto"/>
              <w:right w:val="single" w:sz="4" w:space="0" w:color="auto"/>
            </w:tcBorders>
          </w:tcPr>
          <w:p w:rsidR="00B10A85" w:rsidRDefault="00417CC5" w:rsidP="007D7416">
            <w:r>
              <w:rPr>
                <w:noProof/>
                <w:lang w:eastAsia="en-US"/>
              </w:rPr>
              <w:pict>
                <v:shape id="Text Box 17" o:spid="_x0000_s1074" type="#_x0000_t202" style="position:absolute;margin-left:427.65pt;margin-top:4.35pt;width:42.4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A6230F" w:rsidRDefault="00A6230F" w:rsidP="00B10A85"/>
                    </w:txbxContent>
                  </v:textbox>
                </v:shape>
              </w:pict>
            </w:r>
            <w:r>
              <w:rPr>
                <w:noProof/>
                <w:lang w:eastAsia="en-US"/>
              </w:rPr>
              <w:pict>
                <v:shape id="Text Box 16" o:spid="_x0000_s1073" type="#_x0000_t202" style="position:absolute;margin-left:354.95pt;margin-top:4.9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A6230F" w:rsidRDefault="00A6230F" w:rsidP="00B10A85"/>
                    </w:txbxContent>
                  </v:textbox>
                </v:shape>
              </w:pict>
            </w:r>
            <w:r>
              <w:rPr>
                <w:noProof/>
                <w:lang w:eastAsia="en-US"/>
              </w:rPr>
              <w:pict>
                <v:shape id="Text Box 15" o:spid="_x0000_s1072" type="#_x0000_t202" style="position:absolute;margin-left:93.45pt;margin-top:4.9pt;width:42.5pt;height:2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A6230F" w:rsidRDefault="00A6230F" w:rsidP="00B10A85"/>
                    </w:txbxContent>
                  </v:textbox>
                </v:shape>
              </w:pict>
            </w:r>
            <w:r>
              <w:rPr>
                <w:noProof/>
                <w:lang w:eastAsia="en-US"/>
              </w:rPr>
              <w:pict>
                <v:shape id="Text Box 14" o:spid="_x0000_s1071" type="#_x0000_t202" style="position:absolute;margin-left:15.7pt;margin-top:4.35pt;width:42.5pt;height:2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A6230F" w:rsidRDefault="00A6230F" w:rsidP="00B10A85"/>
                    </w:txbxContent>
                  </v:textbox>
                </v:shape>
              </w:pict>
            </w:r>
          </w:p>
        </w:tc>
      </w:tr>
      <w:tr w:rsidR="00B10A85" w:rsidTr="007D7416">
        <w:tc>
          <w:tcPr>
            <w:tcW w:w="15451"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b/>
          <w:sz w:val="20"/>
          <w:szCs w:val="20"/>
        </w:rPr>
      </w:pPr>
    </w:p>
    <w:tbl>
      <w:tblPr>
        <w:tblStyle w:val="Tabela-Siatka"/>
        <w:tblW w:w="15451" w:type="dxa"/>
        <w:tblInd w:w="-601" w:type="dxa"/>
        <w:tblLook w:val="04A0"/>
      </w:tblPr>
      <w:tblGrid>
        <w:gridCol w:w="15451"/>
      </w:tblGrid>
      <w:tr w:rsidR="00B10A85" w:rsidTr="007D7416">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B10A85" w:rsidRDefault="00B10A85" w:rsidP="007D7416"/>
          <w:p w:rsidR="00B10A85" w:rsidRPr="00CD3892" w:rsidRDefault="00B10A85" w:rsidP="007D7416">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B10A85" w:rsidRPr="00CD3892" w:rsidRDefault="00B10A85" w:rsidP="007D7416">
            <w:pPr>
              <w:rPr>
                <w:rFonts w:asciiTheme="minorHAnsi" w:hAnsiTheme="minorHAnsi"/>
                <w:b/>
                <w:color w:val="000000" w:themeColor="text1"/>
              </w:rPr>
            </w:pP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B10A85" w:rsidRPr="001E3747" w:rsidRDefault="00B10A85" w:rsidP="007D7416">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B10A85" w:rsidRDefault="00B10A85" w:rsidP="00B10A85">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B10A85" w:rsidRPr="004341CF" w:rsidTr="007D7416">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2000D0" w:rsidRDefault="00B10A85" w:rsidP="007D7416">
            <w:pPr>
              <w:spacing w:after="0" w:line="240" w:lineRule="auto"/>
              <w:rPr>
                <w:rFonts w:eastAsia="Times New Roman"/>
                <w:b/>
                <w:bCs/>
                <w:sz w:val="24"/>
                <w:szCs w:val="24"/>
                <w:lang w:eastAsia="pl-PL"/>
              </w:rPr>
            </w:pPr>
            <w:r w:rsidRPr="002000D0">
              <w:rPr>
                <w:rFonts w:eastAsia="Times New Roman"/>
                <w:b/>
                <w:bCs/>
                <w:sz w:val="24"/>
                <w:szCs w:val="24"/>
                <w:lang w:eastAsia="pl-PL"/>
              </w:rPr>
              <w:lastRenderedPageBreak/>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B10A85" w:rsidRPr="004341CF" w:rsidTr="007D7416">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5"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B10A85" w:rsidRPr="000E3FB6"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10A85" w:rsidRDefault="00B10A85" w:rsidP="007D7416">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B10A85" w:rsidRPr="004F4AE6" w:rsidRDefault="00B10A85" w:rsidP="007D7416">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B10A85" w:rsidRPr="004341CF" w:rsidTr="007D7416">
        <w:trPr>
          <w:trHeight w:val="114"/>
        </w:trPr>
        <w:tc>
          <w:tcPr>
            <w:tcW w:w="495"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zamieszkania osoby fizycznej znajduje się na obszarze wiejskim objętym LSR - dotyczy osób fizycznych, które nie wykonują działalności gospodarczej, do której stosuje się przepisy ustawy </w:t>
            </w:r>
            <w:r w:rsidRPr="005B4579">
              <w:rPr>
                <w:sz w:val="20"/>
                <w:szCs w:val="20"/>
                <w:lang w:eastAsia="pl-PL"/>
              </w:rPr>
              <w:t>Prawo przedsiębiorców</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w:t>
            </w:r>
            <w:r w:rsidRPr="00064F96">
              <w:rPr>
                <w:rFonts w:eastAsia="Times New Roman"/>
                <w:sz w:val="20"/>
                <w:szCs w:val="20"/>
                <w:lang w:eastAsia="pl-PL"/>
              </w:rPr>
              <w:t>,</w:t>
            </w:r>
            <w:r w:rsidRPr="004341CF">
              <w:rPr>
                <w:rFonts w:eastAsia="Times New Roman"/>
                <w:sz w:val="20"/>
                <w:szCs w:val="20"/>
                <w:lang w:eastAsia="pl-PL"/>
              </w:rPr>
              <w:t xml:space="preserve"> wpisanym do Centralnej Ewidencji i Informacji o Działalności Gospodarczej znajduje się na obszarze wiejskim objętym LSR - dotyczy osób fizycznych, które wykonują działalność gospodarczą, do której stosuje się przepisy ustawy </w:t>
            </w:r>
            <w:r w:rsidRPr="005B4579">
              <w:rPr>
                <w:sz w:val="20"/>
                <w:szCs w:val="20"/>
                <w:lang w:eastAsia="pl-PL"/>
              </w:rPr>
              <w:t>Prawo przedsiębiorców</w:t>
            </w:r>
            <w:r w:rsidRPr="005B4579">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r>
      <w:tr w:rsidR="00B10A85" w:rsidRPr="004341CF" w:rsidTr="007D7416">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r>
      <w:tr w:rsidR="00B10A85" w:rsidRPr="004341CF" w:rsidTr="007D7416">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r>
      <w:tr w:rsidR="00B10A85" w:rsidRPr="004341CF" w:rsidTr="007D7416">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9B273D">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lastRenderedPageBreak/>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r>
      <w:tr w:rsidR="00B10A85" w:rsidRPr="004341CF" w:rsidTr="007D7416">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9B273D">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9B273D">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9B273D">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9B273D">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formie spółki cywilnej lub we własnym imieniu przez okres wskazany w </w:t>
            </w:r>
            <w:r w:rsidRPr="0074149D">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0E79E1"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Wnioskodawcą jest podmiot wykonujący działalność gospodarczą, do której stosuje się przepisy ustawy </w:t>
            </w:r>
            <w:r w:rsidRPr="006F445A">
              <w:rPr>
                <w:b/>
                <w:sz w:val="20"/>
                <w:szCs w:val="20"/>
                <w:lang w:eastAsia="pl-PL"/>
              </w:rPr>
              <w:t>Prawo przedsiębiorców</w:t>
            </w:r>
            <w:r w:rsidRPr="006F445A">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jest zgodna z zakresem pomocy </w:t>
            </w:r>
            <w:r w:rsidRPr="002A6F70">
              <w:rPr>
                <w:rFonts w:eastAsia="Times New Roman"/>
                <w:sz w:val="20"/>
                <w:szCs w:val="20"/>
                <w:lang w:eastAsia="pl-PL"/>
              </w:rPr>
              <w:t>określonym w § 2 ust. 1 rozporządzenia</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realizację inwestycji na obszarze wiejskim  objętym LSR , chyba, że </w:t>
            </w:r>
            <w:r w:rsidRPr="000E79E1">
              <w:rPr>
                <w:rFonts w:eastAsia="Times New Roman"/>
                <w:sz w:val="20"/>
                <w:szCs w:val="20"/>
                <w:lang w:eastAsia="pl-PL"/>
              </w:rPr>
              <w:lastRenderedPageBreak/>
              <w:t>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w:t>
            </w:r>
            <w:proofErr w:type="spellStart"/>
            <w:r w:rsidRPr="005E1F10">
              <w:rPr>
                <w:rFonts w:eastAsia="Times New Roman"/>
                <w:sz w:val="20"/>
                <w:szCs w:val="20"/>
                <w:lang w:eastAsia="pl-PL"/>
              </w:rPr>
              <w:t>r</w:t>
            </w:r>
            <w:proofErr w:type="spellEnd"/>
            <w:r w:rsidR="001F0513">
              <w:rPr>
                <w:rFonts w:eastAsia="Times New Roman"/>
                <w:sz w:val="20"/>
                <w:szCs w:val="20"/>
                <w:vertAlign w:val="superscript"/>
                <w:lang w:eastAsia="pl-PL"/>
              </w:rPr>
              <w:t>*</w:t>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22365B">
              <w:rPr>
                <w:rFonts w:eastAsia="Times New Roman"/>
                <w:sz w:val="20"/>
                <w:szCs w:val="20"/>
                <w:lang w:eastAsia="pl-PL"/>
              </w:rPr>
              <w:t>spełnia co najmniej 1 z poniższych warunków:</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lastRenderedPageBreak/>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w okresie</w:t>
            </w:r>
            <w:r w:rsidR="006A3675">
              <w:rPr>
                <w:rFonts w:eastAsia="Times New Roman"/>
                <w:sz w:val="20"/>
                <w:szCs w:val="20"/>
                <w:lang w:eastAsia="pl-PL"/>
              </w:rPr>
              <w:t xml:space="preserve"> </w:t>
            </w:r>
            <w:r w:rsidRPr="001E295B">
              <w:rPr>
                <w:rFonts w:eastAsia="Times New Roman"/>
                <w:sz w:val="20"/>
                <w:szCs w:val="20"/>
                <w:lang w:eastAsia="pl-PL"/>
              </w:rPr>
              <w:t>3</w:t>
            </w:r>
            <w:r w:rsidRPr="00F14B46">
              <w:rPr>
                <w:rFonts w:eastAsia="Times New Roman"/>
                <w:sz w:val="20"/>
                <w:szCs w:val="20"/>
                <w:lang w:eastAsia="pl-PL"/>
              </w:rPr>
              <w:t>miesięcy</w:t>
            </w:r>
            <w:r w:rsidR="006A3675">
              <w:rPr>
                <w:rFonts w:eastAsia="Times New Roman"/>
                <w:sz w:val="20"/>
                <w:szCs w:val="20"/>
                <w:lang w:eastAsia="pl-PL"/>
              </w:rPr>
              <w:t xml:space="preserve"> </w:t>
            </w:r>
            <w:r w:rsidRPr="005E1F10">
              <w:rPr>
                <w:rFonts w:eastAsia="Times New Roman"/>
                <w:sz w:val="20"/>
                <w:szCs w:val="20"/>
                <w:lang w:eastAsia="pl-PL"/>
              </w:rPr>
              <w:t xml:space="preserve">poprzedzających dzień złożenia wniosku o przyznanie tej pomocy nie wykonywał działalności gospodarczej, do której stosuje się przepisy ustawy </w:t>
            </w:r>
            <w:r w:rsidRPr="00F14B46">
              <w:rPr>
                <w:sz w:val="20"/>
                <w:szCs w:val="20"/>
                <w:lang w:eastAsia="pl-PL"/>
              </w:rPr>
              <w:t>Prawo przedsiębiorców</w:t>
            </w:r>
            <w:r w:rsidRPr="005E1F10">
              <w:rPr>
                <w:rStyle w:val="Odwoanieprzypisudolnego"/>
                <w:rFonts w:eastAsia="Times New Roman"/>
                <w:sz w:val="20"/>
                <w:szCs w:val="20"/>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się przepisy ustawy </w:t>
            </w:r>
            <w:r w:rsidRPr="00F14B46">
              <w:rPr>
                <w:sz w:val="20"/>
                <w:szCs w:val="20"/>
                <w:lang w:eastAsia="pl-PL"/>
              </w:rPr>
              <w:t>Prawo przedsiębiorców</w:t>
            </w:r>
            <w:r w:rsidRPr="000E79E1">
              <w:rPr>
                <w:rStyle w:val="Odwoanieprzypisudolnego"/>
                <w:rFonts w:eastAsia="Times New Roman"/>
                <w:sz w:val="20"/>
                <w:szCs w:val="20"/>
                <w:lang w:eastAsia="pl-PL"/>
              </w:rPr>
              <w:footnoteReference w:id="15"/>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zakłada zgłoszenie Wnioskodawcy do ubezpieczenia emerytalnego, ubezpieczeń rentowych i ubezpieczenia wypadkowego na podstawie przepisów o systemie ubezpieczeń społecznych z tytułu wykonywania tej działalności, lubutworzenie co najmniej jednego miejsca pracy w przeliczeniu na pełne etaty średnioroczne, gdy jest to uzasadnione zakresem realizacji </w:t>
            </w:r>
            <w:r w:rsidRPr="00CE3882">
              <w:rPr>
                <w:rFonts w:eastAsia="Times New Roman"/>
                <w:sz w:val="20"/>
                <w:szCs w:val="20"/>
                <w:lang w:eastAsia="pl-PL"/>
              </w:rPr>
              <w:t>operacjii</w:t>
            </w:r>
            <w:r w:rsidRPr="005E1F10">
              <w:rPr>
                <w:rFonts w:eastAsia="Times New Roman"/>
                <w:sz w:val="20"/>
                <w:szCs w:val="20"/>
                <w:lang w:eastAsia="pl-PL"/>
              </w:rPr>
              <w:t>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rozwoju przedsiębiorczości na obszarze wiejskim objętym LSR przez </w:t>
            </w:r>
            <w:r w:rsidRPr="005E1F10">
              <w:rPr>
                <w:rFonts w:eastAsia="Times New Roman"/>
                <w:b/>
                <w:sz w:val="20"/>
                <w:szCs w:val="20"/>
                <w:lang w:eastAsia="pl-PL"/>
              </w:rPr>
              <w:lastRenderedPageBreak/>
              <w:t>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Default="00B10A85" w:rsidP="007D7416">
            <w:pPr>
              <w:spacing w:after="0" w:line="240" w:lineRule="auto"/>
              <w:jc w:val="center"/>
              <w:rPr>
                <w:rFonts w:eastAsia="Times New Roman"/>
                <w:b/>
                <w:bCs/>
                <w:color w:val="000000"/>
                <w:sz w:val="20"/>
                <w:szCs w:val="20"/>
                <w:lang w:eastAsia="pl-PL"/>
              </w:rPr>
            </w:pPr>
          </w:p>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Pr="00D161C3">
              <w:rPr>
                <w:sz w:val="20"/>
                <w:szCs w:val="20"/>
                <w:lang w:eastAsia="pl-PL"/>
              </w:rPr>
              <w:t>Prawo przedsiębiorców</w:t>
            </w:r>
            <w:r w:rsidRPr="000E79E1">
              <w:rPr>
                <w:rFonts w:eastAsia="Times New Roman"/>
                <w:sz w:val="20"/>
                <w:szCs w:val="20"/>
                <w:lang w:eastAsia="pl-PL"/>
              </w:rPr>
              <w:t>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Pr>
                <w:rFonts w:eastAsia="Times New Roman"/>
                <w:sz w:val="20"/>
                <w:szCs w:val="20"/>
                <w:lang w:eastAsia="pl-PL"/>
              </w:rPr>
              <w:t>.</w:t>
            </w:r>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podnoszenia kompetencji osób realizujących operacje w zakresie </w:t>
            </w:r>
            <w:r w:rsidRPr="005E1F10">
              <w:rPr>
                <w:rFonts w:eastAsia="Times New Roman"/>
                <w:b/>
                <w:sz w:val="20"/>
                <w:szCs w:val="20"/>
                <w:lang w:eastAsia="pl-PL"/>
              </w:rPr>
              <w:lastRenderedPageBreak/>
              <w:t>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w:t>
            </w:r>
            <w:r>
              <w:rPr>
                <w:b/>
              </w:rPr>
              <w:t>3</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417CC5" w:rsidP="007D7416">
            <w:r>
              <w:rPr>
                <w:noProof/>
                <w:lang w:eastAsia="en-US"/>
              </w:rPr>
              <w:pict>
                <v:group id="Group 18" o:spid="_x0000_s1075" style="position:absolute;margin-left:15.7pt;margin-top:4.25pt;width:545.45pt;height:25.55pt;z-index:25166438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76"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6230F" w:rsidRDefault="00A6230F" w:rsidP="00B10A85"/>
                      </w:txbxContent>
                    </v:textbox>
                  </v:shape>
                  <v:shape id="Text Box 20" o:spid="_x0000_s1077"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6230F" w:rsidRDefault="00A6230F" w:rsidP="00B10A85"/>
                      </w:txbxContent>
                    </v:textbox>
                  </v:shape>
                  <v:shape id="Text Box 21" o:spid="_x0000_s1078"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6230F" w:rsidRDefault="00A6230F" w:rsidP="00B10A85">
                          <w:pPr>
                            <w:jc w:val="center"/>
                          </w:pPr>
                        </w:p>
                      </w:txbxContent>
                    </v:textbox>
                  </v:shape>
                  <v:shape id="Text Box 22" o:spid="_x0000_s1079"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6230F" w:rsidRDefault="00A6230F" w:rsidP="00B10A85"/>
                      </w:txbxContent>
                    </v:textbox>
                  </v:shape>
                  <v:shape id="Text Box 23" o:spid="_x0000_s1080"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6230F" w:rsidRDefault="00A6230F" w:rsidP="00B10A85"/>
                      </w:txbxContent>
                    </v:textbox>
                  </v:shape>
                  <v:shape id="Text Box 24" o:spid="_x0000_s1081"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6230F" w:rsidRDefault="00A6230F"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310" w:type="dxa"/>
        <w:tblInd w:w="-601" w:type="dxa"/>
        <w:tblLook w:val="04A0"/>
      </w:tblPr>
      <w:tblGrid>
        <w:gridCol w:w="15310"/>
      </w:tblGrid>
      <w:tr w:rsidR="00B10A85" w:rsidTr="007D7416">
        <w:tc>
          <w:tcPr>
            <w:tcW w:w="15310" w:type="dxa"/>
            <w:shd w:val="clear" w:color="auto" w:fill="BFBFBF" w:themeFill="background1" w:themeFillShade="BF"/>
          </w:tcPr>
          <w:p w:rsidR="00B10A85" w:rsidRPr="008742A3" w:rsidRDefault="00B10A85" w:rsidP="007D7416">
            <w:pPr>
              <w:jc w:val="center"/>
              <w:rPr>
                <w:i/>
                <w:color w:val="FF0000"/>
                <w:sz w:val="24"/>
                <w:szCs w:val="24"/>
              </w:rPr>
            </w:pPr>
            <w:r w:rsidRPr="008742A3">
              <w:rPr>
                <w:b/>
                <w:sz w:val="24"/>
                <w:szCs w:val="24"/>
              </w:rPr>
              <w:t>B. OCENA</w:t>
            </w:r>
            <w:r>
              <w:rPr>
                <w:b/>
                <w:sz w:val="24"/>
                <w:szCs w:val="24"/>
              </w:rPr>
              <w:t xml:space="preserve"> I WYBÓR</w:t>
            </w:r>
            <w:r w:rsidRPr="008742A3">
              <w:rPr>
                <w:b/>
                <w:sz w:val="24"/>
                <w:szCs w:val="24"/>
              </w:rPr>
              <w:t xml:space="preserve"> OPERACJI WG LOKALNYCH KRYTERIÓW</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234DEC" w:rsidRDefault="00B10A85" w:rsidP="007D7416">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w:t>
            </w:r>
            <w:r>
              <w:rPr>
                <w:rFonts w:eastAsia="Times New Roman"/>
                <w:b/>
                <w:bCs/>
                <w:color w:val="000000"/>
                <w:sz w:val="24"/>
                <w:szCs w:val="24"/>
              </w:rPr>
              <w:t>wyboru</w:t>
            </w:r>
            <w:r>
              <w:rPr>
                <w:rFonts w:eastAsia="Times New Roman"/>
                <w:b/>
                <w:bCs/>
                <w:color w:val="000000"/>
                <w:sz w:val="24"/>
                <w:szCs w:val="24"/>
                <w:vertAlign w:val="superscript"/>
              </w:rPr>
              <w:t>2</w:t>
            </w:r>
          </w:p>
        </w:tc>
      </w:tr>
      <w:tr w:rsidR="00B10A85" w:rsidTr="007D7416">
        <w:tc>
          <w:tcPr>
            <w:tcW w:w="15451" w:type="dxa"/>
          </w:tcPr>
          <w:p w:rsidR="00B10A85" w:rsidRDefault="00B10A85" w:rsidP="007D7416">
            <w:pPr>
              <w:rPr>
                <w:i/>
              </w:rPr>
            </w:pPr>
          </w:p>
          <w:p w:rsidR="00B10A85" w:rsidRDefault="00B10A85" w:rsidP="007D7416">
            <w:pPr>
              <w:rPr>
                <w:i/>
              </w:rPr>
            </w:pPr>
          </w:p>
          <w:p w:rsidR="00B10A85" w:rsidRPr="00951954" w:rsidRDefault="00B10A85" w:rsidP="007D7416">
            <w:pPr>
              <w:rPr>
                <w:i/>
              </w:rPr>
            </w:pPr>
          </w:p>
        </w:tc>
      </w:tr>
    </w:tbl>
    <w:p w:rsidR="00B10A85" w:rsidRPr="00B90DFA" w:rsidRDefault="00B10A85" w:rsidP="00B10A85">
      <w:pPr>
        <w:spacing w:after="0" w:line="240" w:lineRule="auto"/>
        <w:rPr>
          <w:i/>
          <w:color w:val="FF0000"/>
          <w:sz w:val="16"/>
          <w:szCs w:val="16"/>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3A3882" w:rsidRDefault="00B10A85" w:rsidP="009B273D">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F70921" w:rsidRDefault="00B10A85" w:rsidP="007D7416">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Zakres uzupełnień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Default="00B10A85" w:rsidP="00B10A85">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B10A85" w:rsidTr="007D7416">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10A85" w:rsidRDefault="00B10A85" w:rsidP="007D7416">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B10A85" w:rsidRDefault="00B10A85" w:rsidP="007D7416">
            <w:pPr>
              <w:tabs>
                <w:tab w:val="left" w:pos="709"/>
              </w:tabs>
              <w:spacing w:after="0"/>
              <w:jc w:val="center"/>
              <w:rPr>
                <w:rFonts w:ascii="Times New Roman" w:hAnsi="Times New Roman"/>
                <w:i/>
                <w:iCs/>
                <w:sz w:val="16"/>
                <w:szCs w:val="16"/>
              </w:rPr>
            </w:pP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Default="00B10A85" w:rsidP="007D7416">
            <w:pPr>
              <w:rPr>
                <w:rFonts w:eastAsia="Times New Roman"/>
                <w:b/>
                <w:bCs/>
                <w:color w:val="000000"/>
                <w:sz w:val="24"/>
                <w:szCs w:val="24"/>
              </w:rPr>
            </w:pPr>
            <w:r>
              <w:rPr>
                <w:rFonts w:eastAsia="Times New Roman"/>
                <w:b/>
                <w:bCs/>
                <w:color w:val="000000"/>
                <w:sz w:val="24"/>
                <w:szCs w:val="24"/>
              </w:rPr>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Pr="004341CF" w:rsidRDefault="00B10A85" w:rsidP="00B10A85">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B10A85" w:rsidRPr="008F6560" w:rsidTr="007D7416">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B10A85" w:rsidRPr="008F6560" w:rsidTr="007D7416">
        <w:trPr>
          <w:trHeight w:val="300"/>
        </w:trPr>
        <w:tc>
          <w:tcPr>
            <w:tcW w:w="5523" w:type="dxa"/>
            <w:gridSpan w:val="5"/>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B10A85" w:rsidRPr="008F6560" w:rsidRDefault="00B10A85" w:rsidP="007D7416">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B10A85" w:rsidRPr="008F6560" w:rsidTr="007D7416">
        <w:trPr>
          <w:trHeight w:val="300"/>
        </w:trPr>
        <w:tc>
          <w:tcPr>
            <w:tcW w:w="2821" w:type="dxa"/>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B10A85" w:rsidRPr="008F6560" w:rsidRDefault="00B10A85" w:rsidP="007D7416">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B10A85" w:rsidRPr="008F6560" w:rsidTr="007D7416">
        <w:trPr>
          <w:trHeight w:val="102"/>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r>
      <w:tr w:rsidR="00B10A85" w:rsidRPr="008F6560" w:rsidTr="007D7416">
        <w:trPr>
          <w:trHeight w:val="344"/>
        </w:trPr>
        <w:tc>
          <w:tcPr>
            <w:tcW w:w="5076" w:type="dxa"/>
            <w:gridSpan w:val="3"/>
            <w:tcBorders>
              <w:top w:val="nil"/>
              <w:left w:val="single" w:sz="4" w:space="0" w:color="000000"/>
              <w:bottom w:val="nil"/>
              <w:right w:val="nil"/>
            </w:tcBorders>
            <w:shd w:val="clear" w:color="auto" w:fill="808080"/>
            <w:vAlign w:val="center"/>
            <w:hideMark/>
          </w:tcPr>
          <w:p w:rsidR="00B10A85" w:rsidRPr="00976E17" w:rsidRDefault="00B10A85" w:rsidP="007D7416">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B10A85" w:rsidRPr="008F6560" w:rsidRDefault="00B10A85" w:rsidP="007D7416">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r>
      <w:tr w:rsidR="00B10A85" w:rsidRPr="008F6560" w:rsidTr="007D7416">
        <w:trPr>
          <w:trHeight w:val="111"/>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B10A85" w:rsidRPr="008F6560" w:rsidTr="007D7416">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B10A85" w:rsidRPr="004341CF" w:rsidRDefault="00B10A85" w:rsidP="00B10A85">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4671" w:type="dxa"/>
        <w:tblLayout w:type="fixed"/>
        <w:tblCellMar>
          <w:left w:w="70" w:type="dxa"/>
          <w:right w:w="70" w:type="dxa"/>
        </w:tblCellMar>
        <w:tblLook w:val="04A0"/>
      </w:tblPr>
      <w:tblGrid>
        <w:gridCol w:w="4106"/>
        <w:gridCol w:w="4044"/>
        <w:gridCol w:w="1592"/>
        <w:gridCol w:w="109"/>
        <w:gridCol w:w="1276"/>
        <w:gridCol w:w="3544"/>
      </w:tblGrid>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eastAsia="Times New Roman" w:cs="Arial"/>
                <w:b/>
                <w:bCs/>
                <w:color w:val="000000"/>
                <w:sz w:val="20"/>
                <w:szCs w:val="20"/>
                <w:lang w:eastAsia="pl-PL"/>
              </w:rPr>
            </w:pPr>
          </w:p>
          <w:p w:rsidR="00EA2D9D" w:rsidRPr="004341CF" w:rsidRDefault="00EA2D9D" w:rsidP="009B273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cs="Arial"/>
                <w:b/>
                <w:sz w:val="20"/>
                <w:szCs w:val="20"/>
                <w:highlight w:val="yellow"/>
              </w:rPr>
            </w:pPr>
            <w:r w:rsidRPr="004341CF">
              <w:rPr>
                <w:rFonts w:cs="Arial"/>
                <w:b/>
                <w:sz w:val="20"/>
                <w:szCs w:val="20"/>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LGD nie przyznaje punktów w tym kryterium jeśli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3 pkt - wnioskodawca jednokrotnie korzystał z doradztwa prowadzonego przez Biuro LGD w zakresie do którego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0 pkt - wnioskodawca nie korzystał z doradztwa prowadzonego przez Biuro LGD w zakresie do którego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9B273D">
            <w:pPr>
              <w:spacing w:afterLines="40" w:line="240" w:lineRule="auto"/>
              <w:jc w:val="center"/>
              <w:rPr>
                <w:rFonts w:eastAsia="Times New Roman" w:cs="Arial"/>
                <w:b/>
                <w:bCs/>
                <w:color w:val="000000"/>
                <w:sz w:val="20"/>
                <w:szCs w:val="20"/>
                <w:lang w:eastAsia="pl-PL"/>
              </w:rPr>
            </w:pPr>
          </w:p>
        </w:tc>
      </w:tr>
      <w:tr w:rsidR="00D22180"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lastRenderedPageBreak/>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lastRenderedPageBreak/>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9B273D">
            <w:pPr>
              <w:spacing w:afterLines="40" w:line="240" w:lineRule="auto"/>
              <w:jc w:val="center"/>
              <w:rPr>
                <w:rFonts w:eastAsia="Times New Roman" w:cs="Arial"/>
                <w:b/>
                <w:bCs/>
                <w:color w:val="000000"/>
                <w:sz w:val="20"/>
                <w:szCs w:val="20"/>
                <w:lang w:eastAsia="pl-PL"/>
              </w:rPr>
            </w:pPr>
          </w:p>
        </w:tc>
      </w:tr>
      <w:tr w:rsidR="006B467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przyczyniać się doochrony i poprawy jakości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9B273D">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Weryfikacji podlegać będzie powiązanie projektu z innymi przedsięwzięciami, zarówno tymi zrealizowanymi, jak też z tymi, które są w trakcie realizacji</w:t>
            </w:r>
            <w:bookmarkStart w:id="0" w:name="_GoBack"/>
            <w:bookmarkEnd w:id="0"/>
            <w:r w:rsidRPr="003C7AED">
              <w:rPr>
                <w:rFonts w:ascii="Arial" w:hAnsi="Arial" w:cs="Arial"/>
                <w:bCs/>
                <w:i/>
                <w:sz w:val="18"/>
                <w:szCs w:val="18"/>
              </w:rPr>
              <w:t>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Aby otrzymać punkty w tym kryterium należy podać m.in. tytuł/ tytuły projektów oraz informację </w:t>
            </w:r>
            <w:r w:rsidRPr="003C7AED">
              <w:rPr>
                <w:rFonts w:ascii="Arial" w:hAnsi="Arial" w:cs="Arial"/>
                <w:bCs/>
                <w:i/>
                <w:sz w:val="18"/>
                <w:szCs w:val="18"/>
              </w:rPr>
              <w:lastRenderedPageBreak/>
              <w:t>w jaki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9B273D">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określić do jakiego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9B273D">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lastRenderedPageBreak/>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9B273D">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historyczne,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9B273D">
            <w:pPr>
              <w:spacing w:afterLines="40" w:line="240" w:lineRule="auto"/>
              <w:jc w:val="center"/>
              <w:rPr>
                <w:rFonts w:eastAsia="Times New Roman" w:cs="Arial"/>
                <w:b/>
                <w:bCs/>
                <w:color w:val="000000"/>
                <w:sz w:val="20"/>
                <w:szCs w:val="20"/>
                <w:lang w:eastAsia="pl-PL"/>
              </w:rPr>
            </w:pP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 xml:space="preserve">Opis partnerstwa i umowa partnerstwa  muszą zawierać podział obowiązków między partnerami oraz logiczny opis zadań, za które odpowiedzialni są poszczególni Partnerzy w związku z realizacją </w:t>
            </w:r>
            <w:r w:rsidRPr="00F77C1E">
              <w:rPr>
                <w:rFonts w:ascii="Arial" w:hAnsi="Arial" w:cs="Arial"/>
                <w:bCs/>
                <w:i/>
                <w:sz w:val="18"/>
                <w:szCs w:val="18"/>
              </w:rPr>
              <w:lastRenderedPageBreak/>
              <w:t>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lastRenderedPageBreak/>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9B273D">
            <w:pPr>
              <w:spacing w:afterLines="40" w:line="240" w:lineRule="auto"/>
              <w:jc w:val="center"/>
              <w:rPr>
                <w:rFonts w:eastAsia="Times New Roman" w:cs="Arial"/>
                <w:b/>
                <w:bCs/>
                <w:color w:val="000000"/>
                <w:sz w:val="20"/>
                <w:szCs w:val="20"/>
                <w:lang w:eastAsia="pl-PL"/>
              </w:rPr>
            </w:pPr>
          </w:p>
        </w:tc>
      </w:tr>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9B273D">
            <w:pPr>
              <w:spacing w:afterLines="40" w:line="240" w:lineRule="auto"/>
              <w:jc w:val="center"/>
              <w:rPr>
                <w:rFonts w:eastAsia="Times New Roman" w:cs="Arial"/>
                <w:b/>
                <w:bCs/>
                <w:color w:val="000000"/>
                <w:sz w:val="20"/>
                <w:szCs w:val="20"/>
                <w:lang w:eastAsia="pl-PL"/>
              </w:rPr>
            </w:pPr>
          </w:p>
          <w:p w:rsidR="00EA2D9D" w:rsidRPr="004341CF" w:rsidRDefault="00EA2D9D" w:rsidP="009B273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38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9B273D">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9B273D">
            <w:pPr>
              <w:spacing w:afterLines="4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miejscowości;lub /i zrealizowaniu działań promocyjnych i aktywizujących, które mogą mieć  pozytywny wpływ na wizerunek turystyczny miejscowości; rozwinięciu działalności okołoturystycznej.</w:t>
            </w:r>
          </w:p>
          <w:p w:rsidR="00D51510" w:rsidRPr="004341CF" w:rsidRDefault="00D51510" w:rsidP="009B273D">
            <w:pPr>
              <w:spacing w:afterLines="40"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9B273D">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9B273D">
            <w:pPr>
              <w:spacing w:afterLines="40" w:line="240" w:lineRule="auto"/>
              <w:jc w:val="center"/>
              <w:rPr>
                <w:rFonts w:eastAsia="Times New Roman" w:cs="Arial"/>
                <w:b/>
                <w:bCs/>
                <w:color w:val="000000"/>
                <w:sz w:val="20"/>
                <w:szCs w:val="20"/>
                <w:lang w:eastAsia="pl-PL"/>
              </w:rPr>
            </w:pPr>
          </w:p>
        </w:tc>
      </w:tr>
    </w:tbl>
    <w:tbl>
      <w:tblPr>
        <w:tblpPr w:leftFromText="141" w:rightFromText="141" w:vertAnchor="text" w:horzAnchor="margin" w:tblpY="6"/>
        <w:tblOverlap w:val="never"/>
        <w:tblW w:w="14671" w:type="dxa"/>
        <w:tblLayout w:type="fixed"/>
        <w:tblCellMar>
          <w:left w:w="70" w:type="dxa"/>
          <w:right w:w="70" w:type="dxa"/>
        </w:tblCellMar>
        <w:tblLook w:val="04A0"/>
      </w:tblPr>
      <w:tblGrid>
        <w:gridCol w:w="1878"/>
        <w:gridCol w:w="3454"/>
        <w:gridCol w:w="968"/>
        <w:gridCol w:w="8371"/>
      </w:tblGrid>
      <w:tr w:rsidR="009B273D" w:rsidRPr="003D5456" w:rsidTr="009B273D">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9B273D" w:rsidRPr="00965C10" w:rsidRDefault="009B273D" w:rsidP="009B273D">
            <w:pPr>
              <w:spacing w:after="0" w:line="240" w:lineRule="auto"/>
              <w:rPr>
                <w:rFonts w:eastAsia="Times New Roman" w:cs="Arial"/>
                <w:b/>
                <w:bCs/>
                <w:color w:val="000000"/>
                <w:sz w:val="14"/>
                <w:szCs w:val="14"/>
                <w:lang w:eastAsia="pl-PL"/>
              </w:rPr>
            </w:pPr>
          </w:p>
        </w:tc>
      </w:tr>
      <w:tr w:rsidR="009B273D" w:rsidRPr="003D5456" w:rsidTr="009B273D">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9B273D" w:rsidRPr="00965C10" w:rsidRDefault="009B273D" w:rsidP="009B273D">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9B273D" w:rsidRPr="003D5456" w:rsidTr="009B273D">
        <w:trPr>
          <w:trHeight w:val="175"/>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9B273D" w:rsidRPr="00965C10" w:rsidRDefault="009B273D" w:rsidP="009B273D">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rPr>
                <w:rFonts w:eastAsia="Times New Roman" w:cs="Arial"/>
                <w:b/>
                <w:bCs/>
                <w:color w:val="000000"/>
                <w:lang w:eastAsia="pl-PL"/>
              </w:rPr>
            </w:pPr>
          </w:p>
        </w:tc>
      </w:tr>
      <w:tr w:rsidR="009B273D" w:rsidRPr="003D5456" w:rsidTr="009B273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9B273D" w:rsidRPr="00965C10" w:rsidRDefault="009B273D" w:rsidP="009B273D">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9B273D" w:rsidRPr="003D5456" w:rsidTr="009B273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9B273D" w:rsidRPr="00965C10" w:rsidRDefault="009B273D" w:rsidP="009B273D">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B273D" w:rsidRPr="00965C10" w:rsidRDefault="009B273D" w:rsidP="009B273D">
            <w:pPr>
              <w:spacing w:after="0" w:line="240" w:lineRule="auto"/>
              <w:rPr>
                <w:rFonts w:eastAsia="Times New Roman" w:cs="Arial"/>
                <w:b/>
                <w:bCs/>
                <w:color w:val="000000"/>
                <w:lang w:eastAsia="pl-PL"/>
              </w:rPr>
            </w:pPr>
          </w:p>
        </w:tc>
      </w:tr>
      <w:tr w:rsidR="009B273D" w:rsidRPr="003D5456" w:rsidTr="009B273D">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9B273D" w:rsidRPr="00965C10" w:rsidRDefault="009B273D" w:rsidP="009B273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9B273D" w:rsidRPr="003D5456" w:rsidTr="009B273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9B273D" w:rsidRPr="00965C10" w:rsidRDefault="009B273D" w:rsidP="009B273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9B273D" w:rsidRPr="00965C10" w:rsidRDefault="009B273D" w:rsidP="009B273D">
            <w:pPr>
              <w:spacing w:after="0" w:line="240" w:lineRule="auto"/>
              <w:jc w:val="center"/>
              <w:rPr>
                <w:rFonts w:eastAsia="Times New Roman" w:cs="Arial"/>
                <w:b/>
                <w:bCs/>
                <w:color w:val="000000"/>
                <w:sz w:val="14"/>
                <w:szCs w:val="14"/>
                <w:lang w:eastAsia="pl-PL"/>
              </w:rPr>
            </w:pPr>
          </w:p>
          <w:p w:rsidR="009B273D" w:rsidRPr="00965C10" w:rsidRDefault="009B273D" w:rsidP="009B273D">
            <w:pPr>
              <w:spacing w:after="0" w:line="240" w:lineRule="auto"/>
              <w:jc w:val="center"/>
              <w:rPr>
                <w:rFonts w:eastAsia="Times New Roman" w:cs="Arial"/>
                <w:b/>
                <w:bCs/>
                <w:color w:val="000000"/>
                <w:sz w:val="14"/>
                <w:szCs w:val="14"/>
                <w:lang w:eastAsia="pl-PL"/>
              </w:rPr>
            </w:pPr>
          </w:p>
        </w:tc>
      </w:tr>
      <w:tr w:rsidR="009B273D" w:rsidRPr="003D5456" w:rsidTr="009B273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9B273D" w:rsidRPr="00965C10" w:rsidRDefault="009B273D" w:rsidP="009B273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9B273D" w:rsidRPr="00965C10" w:rsidRDefault="009B273D" w:rsidP="009B273D">
            <w:pPr>
              <w:spacing w:after="0" w:line="240" w:lineRule="auto"/>
              <w:jc w:val="center"/>
              <w:rPr>
                <w:rFonts w:eastAsia="Times New Roman" w:cs="Arial"/>
                <w:b/>
                <w:bCs/>
                <w:color w:val="000000"/>
                <w:sz w:val="14"/>
                <w:szCs w:val="14"/>
                <w:lang w:eastAsia="pl-PL"/>
              </w:rPr>
            </w:pPr>
          </w:p>
          <w:p w:rsidR="009B273D" w:rsidRPr="00965C10" w:rsidRDefault="009B273D" w:rsidP="009B273D">
            <w:pPr>
              <w:spacing w:after="0" w:line="240" w:lineRule="auto"/>
              <w:jc w:val="center"/>
              <w:rPr>
                <w:rFonts w:eastAsia="Times New Roman" w:cs="Arial"/>
                <w:b/>
                <w:bCs/>
                <w:color w:val="000000"/>
                <w:sz w:val="14"/>
                <w:szCs w:val="14"/>
                <w:lang w:eastAsia="pl-PL"/>
              </w:rPr>
            </w:pPr>
          </w:p>
        </w:tc>
      </w:tr>
    </w:tbl>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Default="003643E2" w:rsidP="003643E2">
      <w:pPr>
        <w:tabs>
          <w:tab w:val="left" w:pos="12995"/>
        </w:tabs>
        <w:rPr>
          <w:sz w:val="20"/>
          <w:szCs w:val="20"/>
        </w:rPr>
      </w:pPr>
    </w:p>
    <w:p w:rsidR="003643E2" w:rsidRPr="003643E2" w:rsidRDefault="003643E2" w:rsidP="003643E2">
      <w:pPr>
        <w:tabs>
          <w:tab w:val="left" w:pos="8548"/>
        </w:tabs>
        <w:rPr>
          <w:sz w:val="20"/>
          <w:szCs w:val="20"/>
        </w:rPr>
      </w:pPr>
      <w:r>
        <w:rPr>
          <w:sz w:val="20"/>
          <w:szCs w:val="20"/>
        </w:rPr>
        <w:tab/>
      </w: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p w:rsidR="003643E2" w:rsidRDefault="003643E2" w:rsidP="00C37276">
      <w:pPr>
        <w:spacing w:after="0" w:line="240" w:lineRule="auto"/>
        <w:rPr>
          <w:rFonts w:ascii="Times New Roman" w:hAnsi="Times New Roman"/>
          <w:b/>
          <w:color w:val="0070C0"/>
        </w:rPr>
      </w:pPr>
    </w:p>
    <w:p w:rsidR="003643E2" w:rsidRP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C37276" w:rsidRPr="003643E2" w:rsidRDefault="00C37276" w:rsidP="003643E2">
      <w:pPr>
        <w:rPr>
          <w:rFonts w:ascii="Times New Roman" w:hAnsi="Times New Roman"/>
        </w:rPr>
        <w:sectPr w:rsidR="00C37276" w:rsidRPr="003643E2"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0F" w:rsidRDefault="00A6230F" w:rsidP="00C37276">
      <w:pPr>
        <w:spacing w:after="0" w:line="240" w:lineRule="auto"/>
      </w:pPr>
      <w:r>
        <w:separator/>
      </w:r>
    </w:p>
  </w:endnote>
  <w:endnote w:type="continuationSeparator" w:id="0">
    <w:p w:rsidR="00A6230F" w:rsidRDefault="00A6230F"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A6230F" w:rsidRDefault="00417CC5">
        <w:pPr>
          <w:pStyle w:val="Stopka"/>
          <w:jc w:val="right"/>
        </w:pPr>
        <w:fldSimple w:instr="PAGE   \* MERGEFORMAT">
          <w:r w:rsidR="009B273D">
            <w:rPr>
              <w:noProof/>
            </w:rPr>
            <w:t>21</w:t>
          </w:r>
        </w:fldSimple>
      </w:p>
    </w:sdtContent>
  </w:sdt>
  <w:p w:rsidR="00A6230F" w:rsidRDefault="00A623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0F" w:rsidRDefault="00A6230F" w:rsidP="00C37276">
      <w:pPr>
        <w:spacing w:after="0" w:line="240" w:lineRule="auto"/>
      </w:pPr>
      <w:r>
        <w:separator/>
      </w:r>
    </w:p>
  </w:footnote>
  <w:footnote w:type="continuationSeparator" w:id="0">
    <w:p w:rsidR="00A6230F" w:rsidRDefault="00A6230F" w:rsidP="00C37276">
      <w:pPr>
        <w:spacing w:after="0" w:line="240" w:lineRule="auto"/>
      </w:pPr>
      <w:r>
        <w:continuationSeparator/>
      </w:r>
    </w:p>
  </w:footnote>
  <w:footnote w:id="1">
    <w:p w:rsidR="00A6230F" w:rsidRPr="0079487F"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5B4579">
        <w:rPr>
          <w:rFonts w:asciiTheme="minorHAnsi" w:hAnsiTheme="minorHAnsi" w:cs="Arial"/>
          <w:sz w:val="14"/>
          <w:szCs w:val="14"/>
        </w:rPr>
        <w:t>Ustawa z dnia 6 marca 2018 r. Prawo przedsiębiorców (Dz. U. z 2021 r. poz. 162)</w:t>
      </w:r>
    </w:p>
  </w:footnote>
  <w:footnote w:id="2">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07C04">
        <w:rPr>
          <w:rFonts w:asciiTheme="minorHAnsi" w:hAnsiTheme="minorHAnsi" w:cs="Arial"/>
          <w:sz w:val="14"/>
          <w:szCs w:val="14"/>
        </w:rPr>
        <w:t>Dz. U. z 2019 r., poz. 664 i 2023, z 2020 r. poz. 1555);</w:t>
      </w:r>
    </w:p>
  </w:footnote>
  <w:footnote w:id="4">
    <w:p w:rsidR="00A6230F" w:rsidRPr="00CD3892" w:rsidRDefault="00A6230F" w:rsidP="00B10A85">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A6230F" w:rsidRPr="00F43E64" w:rsidRDefault="00A6230F" w:rsidP="00B10A85">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A6230F" w:rsidRPr="000E79E1" w:rsidRDefault="00A6230F" w:rsidP="00B10A85">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2A6F70">
        <w:rPr>
          <w:rFonts w:asciiTheme="minorHAnsi" w:hAnsiTheme="minorHAnsi" w:cs="Arial"/>
          <w:sz w:val="14"/>
          <w:szCs w:val="14"/>
        </w:rPr>
        <w:t>Ustawa z dnia 6 marca 2018 r. Prawo przedsiębiorców (Dz. U. z 2021 r. poz. 162)</w:t>
      </w:r>
    </w:p>
  </w:footnote>
  <w:footnote w:id="7">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A6230F" w:rsidRPr="000E79E1" w:rsidRDefault="00A6230F" w:rsidP="00B10A85">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A6230F" w:rsidRPr="00F43E64" w:rsidRDefault="00A6230F" w:rsidP="00B10A85">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22365B">
        <w:rPr>
          <w:rFonts w:asciiTheme="minorHAnsi" w:hAnsiTheme="minorHAnsi" w:cs="Arial"/>
          <w:sz w:val="14"/>
          <w:szCs w:val="14"/>
        </w:rPr>
        <w:t>Dz. U. z 2019 r., poz. 664 i 2023, z 2020 r. poz. 1555);</w:t>
      </w:r>
    </w:p>
  </w:footnote>
  <w:footnote w:id="10">
    <w:p w:rsidR="00A6230F" w:rsidRPr="00F43E64"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A6230F" w:rsidRPr="000E79E1" w:rsidRDefault="00A6230F" w:rsidP="00B10A85">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(Dz. U. z 2019 r., poz. 664 i 2023, z 2020 r. poz. 1555);</w:t>
      </w:r>
    </w:p>
  </w:footnote>
  <w:footnote w:id="12">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A6230F"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p w:rsidR="001F0513" w:rsidRPr="000E79E1" w:rsidRDefault="001F0513" w:rsidP="00B10A85">
      <w:pPr>
        <w:pStyle w:val="Tekstprzypisudolnego"/>
        <w:ind w:left="0" w:firstLine="0"/>
        <w:rPr>
          <w:rFonts w:asciiTheme="minorHAnsi" w:hAnsiTheme="minorHAnsi"/>
          <w:sz w:val="16"/>
          <w:szCs w:val="16"/>
        </w:rPr>
      </w:pPr>
      <w:r>
        <w:rPr>
          <w:rFonts w:asciiTheme="minorHAnsi" w:hAnsiTheme="minorHAnsi" w:cs="Arial"/>
          <w:sz w:val="14"/>
          <w:szCs w:val="14"/>
        </w:rPr>
        <w:t xml:space="preserve">* zgodnie z Rozporządzeniem </w:t>
      </w:r>
      <w:r w:rsidRPr="000E79E1">
        <w:rPr>
          <w:rFonts w:asciiTheme="minorHAnsi" w:hAnsiTheme="minorHAnsi" w:cs="Arial"/>
          <w:sz w:val="14"/>
          <w:szCs w:val="14"/>
        </w:rPr>
        <w:t>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w:t>
      </w:r>
      <w:r w:rsidRPr="006A45A5">
        <w:rPr>
          <w:rFonts w:asciiTheme="minorHAnsi" w:hAnsiTheme="minorHAnsi" w:cs="Arial"/>
          <w:sz w:val="14"/>
          <w:szCs w:val="14"/>
        </w:rPr>
        <w:t xml:space="preserve">Dz. U. z 2019 r. poz. 664, </w:t>
      </w:r>
      <w:proofErr w:type="spellStart"/>
      <w:r w:rsidRPr="006A45A5">
        <w:rPr>
          <w:rFonts w:asciiTheme="minorHAnsi" w:hAnsiTheme="minorHAnsi" w:cs="Arial"/>
          <w:sz w:val="14"/>
          <w:szCs w:val="14"/>
        </w:rPr>
        <w:t>t.j</w:t>
      </w:r>
      <w:proofErr w:type="spellEnd"/>
      <w:r w:rsidRPr="006A45A5">
        <w:rPr>
          <w:rFonts w:asciiTheme="minorHAnsi" w:hAnsiTheme="minorHAnsi" w:cs="Arial"/>
          <w:sz w:val="14"/>
          <w:szCs w:val="14"/>
        </w:rPr>
        <w:t>. ze zm.</w:t>
      </w:r>
      <w:r w:rsidRPr="00F14B46">
        <w:rPr>
          <w:rFonts w:asciiTheme="minorHAnsi" w:hAnsiTheme="minorHAnsi" w:cs="Arial"/>
          <w:sz w:val="14"/>
          <w:szCs w:val="14"/>
        </w:rPr>
        <w:t>)</w:t>
      </w:r>
    </w:p>
  </w:footnote>
  <w:footnote w:id="14">
    <w:p w:rsidR="00A6230F" w:rsidRPr="000E79E1" w:rsidRDefault="00A6230F" w:rsidP="00B10A85">
      <w:pPr>
        <w:pStyle w:val="Tekstprzypisudolnego"/>
        <w:rPr>
          <w:rFonts w:asciiTheme="minorHAnsi" w:hAnsiTheme="minorHAnsi" w:cs="Arial"/>
          <w:sz w:val="14"/>
          <w:szCs w:val="14"/>
        </w:rPr>
      </w:pPr>
      <w:r w:rsidRPr="00F14B46">
        <w:rPr>
          <w:rStyle w:val="Odwoanieprzypisudolnego"/>
          <w:rFonts w:asciiTheme="minorHAnsi" w:hAnsiTheme="minorHAnsi" w:cs="Arial"/>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5">
    <w:p w:rsidR="00A6230F" w:rsidRPr="00F43E64" w:rsidRDefault="00A6230F" w:rsidP="00B10A85">
      <w:pPr>
        <w:pStyle w:val="Tekstprzypisudolnego"/>
        <w:ind w:left="0" w:firstLine="0"/>
        <w:rPr>
          <w:rFonts w:ascii="Arial" w:hAnsi="Arial" w:cs="Arial"/>
          <w:sz w:val="14"/>
          <w:szCs w:val="14"/>
        </w:rPr>
      </w:pPr>
      <w:r w:rsidRPr="00F14B46">
        <w:rPr>
          <w:rStyle w:val="Odwoanieprzypisudolnego"/>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6">
    <w:p w:rsidR="00A6230F" w:rsidRPr="000E79E1" w:rsidRDefault="00A6230F" w:rsidP="00B10A85">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161C3">
        <w:rPr>
          <w:rFonts w:asciiTheme="minorHAnsi" w:hAnsiTheme="minorHAnsi" w:cs="Arial"/>
          <w:sz w:val="14"/>
          <w:szCs w:val="14"/>
        </w:rPr>
        <w:t>Dz. U. z 2019 r., poz. 664 i 2023, z 2020 r. poz. 1555);</w:t>
      </w:r>
    </w:p>
  </w:footnote>
  <w:footnote w:id="17">
    <w:p w:rsidR="00A6230F" w:rsidRPr="00F43E64" w:rsidRDefault="00A6230F" w:rsidP="00B10A85">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A6230F" w:rsidRPr="000E79E1"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DF5FF2">
        <w:rPr>
          <w:rFonts w:asciiTheme="minorHAnsi" w:hAnsiTheme="minorHAnsi" w:cs="Arial"/>
          <w:sz w:val="14"/>
          <w:szCs w:val="14"/>
        </w:rPr>
        <w:t>Ustawa z dnia 6 marca 2018 r. Prawo przedsiębiorców (Dz. U. z 2021 r. poz. 162)</w:t>
      </w:r>
    </w:p>
  </w:footnote>
  <w:footnote w:id="20">
    <w:p w:rsidR="00A6230F" w:rsidRDefault="00A6230F" w:rsidP="00B10A85">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801BDA">
        <w:rPr>
          <w:rFonts w:asciiTheme="minorHAnsi" w:hAnsiTheme="minorHAnsi" w:cs="Arial"/>
          <w:sz w:val="14"/>
          <w:szCs w:val="14"/>
        </w:rPr>
        <w:t>(Dz. U. z 2019 r., poz. 664 i 2023, z 2020 r. poz. 1555);</w:t>
      </w:r>
    </w:p>
  </w:footnote>
  <w:footnote w:id="21">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A6230F" w:rsidRPr="00F43E64"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E5A6D">
        <w:rPr>
          <w:rFonts w:asciiTheme="minorHAnsi" w:hAnsiTheme="minorHAnsi" w:cs="Arial"/>
          <w:sz w:val="14"/>
          <w:szCs w:val="14"/>
        </w:rPr>
        <w:t>Dz. U. z 2019 r., poz. 664 i 2023, z 2020 r. poz. 1555);</w:t>
      </w:r>
    </w:p>
  </w:footnote>
  <w:footnote w:id="26">
    <w:p w:rsidR="00A6230F" w:rsidRDefault="00A6230F" w:rsidP="00B10A8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w:t>
      </w:r>
      <w:r w:rsidRPr="005E5A6D">
        <w:rPr>
          <w:sz w:val="14"/>
          <w:szCs w:val="14"/>
        </w:rPr>
        <w:t>Dz. U. z 2020 r., poz. 217,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85A4F"/>
    <w:rsid w:val="00097E56"/>
    <w:rsid w:val="000E7AC3"/>
    <w:rsid w:val="001D2234"/>
    <w:rsid w:val="001F0513"/>
    <w:rsid w:val="00290547"/>
    <w:rsid w:val="0036415C"/>
    <w:rsid w:val="003643E2"/>
    <w:rsid w:val="003C1CF9"/>
    <w:rsid w:val="003C7AED"/>
    <w:rsid w:val="00417CC5"/>
    <w:rsid w:val="004207BC"/>
    <w:rsid w:val="004410A7"/>
    <w:rsid w:val="00441DC3"/>
    <w:rsid w:val="00513FD8"/>
    <w:rsid w:val="005B2899"/>
    <w:rsid w:val="005E2FB0"/>
    <w:rsid w:val="005F01CC"/>
    <w:rsid w:val="005F1AE8"/>
    <w:rsid w:val="00646400"/>
    <w:rsid w:val="006A3675"/>
    <w:rsid w:val="006B467D"/>
    <w:rsid w:val="00772618"/>
    <w:rsid w:val="007D7416"/>
    <w:rsid w:val="00852EB0"/>
    <w:rsid w:val="00882C6D"/>
    <w:rsid w:val="0093090C"/>
    <w:rsid w:val="00941432"/>
    <w:rsid w:val="009B273D"/>
    <w:rsid w:val="00A6230F"/>
    <w:rsid w:val="00B10A85"/>
    <w:rsid w:val="00B4218A"/>
    <w:rsid w:val="00B66E56"/>
    <w:rsid w:val="00BE6F18"/>
    <w:rsid w:val="00C37276"/>
    <w:rsid w:val="00C60312"/>
    <w:rsid w:val="00C75EAC"/>
    <w:rsid w:val="00CC44AE"/>
    <w:rsid w:val="00D20439"/>
    <w:rsid w:val="00D22180"/>
    <w:rsid w:val="00D51510"/>
    <w:rsid w:val="00EA2D9D"/>
    <w:rsid w:val="00EB4A01"/>
    <w:rsid w:val="00ED0E3C"/>
    <w:rsid w:val="00F43BD8"/>
    <w:rsid w:val="00F77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rFonts w:ascii="Calibri" w:eastAsia="Calibri" w:hAnsi="Calibri" w:cs="Times New Roman"/>
      <w:b/>
      <w:bCs/>
      <w:sz w:val="20"/>
      <w:szCs w:val="20"/>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omylnaczcionkaakapitu"/>
    <w:rsid w:val="000E7AC3"/>
    <w:rPr>
      <w:rFonts w:ascii="Calibri" w:hAnsi="Calibri" w:hint="default"/>
      <w:b w:val="0"/>
      <w:bCs w:val="0"/>
      <w:i w:val="0"/>
      <w:iCs w:val="0"/>
      <w:color w:val="000000"/>
      <w:sz w:val="24"/>
      <w:szCs w:val="24"/>
    </w:rPr>
  </w:style>
  <w:style w:type="character" w:customStyle="1" w:styleId="fontstyle21">
    <w:name w:val="fontstyle21"/>
    <w:basedOn w:val="Domylnaczcionkaakapitu"/>
    <w:rsid w:val="000E7AC3"/>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3"/>
      </w:numPr>
    </w:pPr>
  </w:style>
  <w:style w:type="numbering" w:customStyle="1" w:styleId="Nagwek2Znak">
    <w:name w:val="Styl5"/>
    <w:pPr>
      <w:numPr>
        <w:numId w:val="1"/>
      </w:numPr>
    </w:pPr>
  </w:style>
  <w:style w:type="numbering" w:customStyle="1" w:styleId="Nagwek3Znak">
    <w:name w:val="Styl2"/>
    <w:pPr>
      <w:numPr>
        <w:numId w:val="4"/>
      </w:numPr>
    </w:pPr>
  </w:style>
  <w:style w:type="numbering" w:customStyle="1" w:styleId="Nagwek4Znak">
    <w:name w:val="Styl5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22</Pages>
  <Words>4635</Words>
  <Characters>27812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2019-10-01T06:17:00Z</dcterms:created>
  <dcterms:modified xsi:type="dcterms:W3CDTF">2022-09-06T10:07:00Z</dcterms:modified>
</cp:coreProperties>
</file>