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E7" w:rsidRDefault="00987FE7" w:rsidP="00987FE7">
      <w:pPr>
        <w:spacing w:after="0" w:line="240" w:lineRule="auto"/>
        <w:rPr>
          <w:rFonts w:ascii="Times New Roman" w:hAnsi="Times New Roman"/>
          <w:b/>
        </w:rPr>
      </w:pPr>
      <w:r>
        <w:rPr>
          <w:rFonts w:cstheme="minorHAnsi"/>
          <w:i/>
          <w:sz w:val="20"/>
          <w:szCs w:val="20"/>
          <w:lang w:eastAsia="pl-PL"/>
        </w:rPr>
        <w:t>Załącznik nr 1</w:t>
      </w:r>
      <w:r w:rsidR="000D544B">
        <w:rPr>
          <w:rFonts w:cstheme="minorHAnsi"/>
          <w:i/>
          <w:sz w:val="20"/>
          <w:szCs w:val="20"/>
          <w:lang w:eastAsia="pl-PL"/>
        </w:rPr>
        <w:t>3</w:t>
      </w:r>
      <w:r>
        <w:rPr>
          <w:rFonts w:cstheme="minorHAnsi"/>
          <w:i/>
          <w:sz w:val="20"/>
          <w:szCs w:val="20"/>
          <w:lang w:eastAsia="pl-PL"/>
        </w:rPr>
        <w:t xml:space="preserve"> do Ogłoszenia</w:t>
      </w:r>
      <w:r>
        <w:rPr>
          <w:rFonts w:ascii="Times New Roman" w:hAnsi="Times New Roman"/>
          <w:b/>
        </w:rPr>
        <w:t xml:space="preserve"> </w:t>
      </w:r>
      <w:r>
        <w:rPr>
          <w:rFonts w:cstheme="minorHAnsi"/>
          <w:i/>
          <w:sz w:val="20"/>
          <w:szCs w:val="20"/>
          <w:lang w:eastAsia="pl-PL"/>
        </w:rPr>
        <w:t>o naborze</w:t>
      </w:r>
    </w:p>
    <w:p w:rsidR="005F5122" w:rsidRPr="005F5122" w:rsidRDefault="005F5122" w:rsidP="005F5122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5122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do Uchwały Nr 23/2020 </w:t>
      </w:r>
    </w:p>
    <w:p w:rsidR="005F5122" w:rsidRPr="00A27641" w:rsidRDefault="005F5122" w:rsidP="005F5122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5122">
        <w:rPr>
          <w:rFonts w:ascii="Times New Roman" w:eastAsia="Times New Roman" w:hAnsi="Times New Roman"/>
          <w:sz w:val="20"/>
          <w:szCs w:val="20"/>
          <w:lang w:eastAsia="pl-PL"/>
        </w:rPr>
        <w:t xml:space="preserve">Komitetu Monitorującego Regionalny Program Operacyjny Województwa Podlaskiego na lata 2014-2020 dnia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5F5122">
        <w:rPr>
          <w:rFonts w:ascii="Times New Roman" w:eastAsia="Times New Roman" w:hAnsi="Times New Roman"/>
          <w:sz w:val="20"/>
          <w:szCs w:val="20"/>
          <w:lang w:eastAsia="pl-PL"/>
        </w:rPr>
        <w:t>18 czerwca 2020 r.</w:t>
      </w:r>
    </w:p>
    <w:p w:rsidR="00EE23A0" w:rsidRDefault="00EE23A0" w:rsidP="00EE23A0">
      <w:pPr>
        <w:spacing w:after="0"/>
        <w:jc w:val="right"/>
      </w:pPr>
    </w:p>
    <w:p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:rsidR="00B1365B" w:rsidRDefault="00B1365B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830286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  <w:r w:rsidR="00830286">
        <w:rPr>
          <w:rFonts w:asciiTheme="majorHAnsi" w:hAnsiTheme="majorHAnsi" w:cstheme="maj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</w:t>
            </w:r>
            <w:r w:rsidRPr="00364A66">
              <w:rPr>
                <w:rFonts w:asciiTheme="majorHAnsi" w:hAnsiTheme="majorHAnsi" w:cstheme="majorHAnsi"/>
              </w:rPr>
              <w:lastRenderedPageBreak/>
              <w:t>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brakujących załączników lub </w:t>
            </w:r>
            <w:r w:rsidRPr="00364A66">
              <w:rPr>
                <w:rFonts w:asciiTheme="majorHAnsi" w:hAnsiTheme="majorHAnsi" w:cstheme="majorHAnsi"/>
              </w:rPr>
              <w:lastRenderedPageBreak/>
              <w:t>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B1365B" w:rsidRDefault="00B1365B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zostać dofinansowany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celem(-ami) określonym(-nymi)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 xml:space="preserve">granic </w:t>
            </w:r>
            <w:r w:rsidRPr="00870C5A">
              <w:rPr>
                <w:rFonts w:asciiTheme="majorHAnsi" w:hAnsiTheme="majorHAnsi" w:cstheme="majorHAnsi"/>
              </w:rPr>
              <w:lastRenderedPageBreak/>
              <w:t>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DE6832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  <w:r w:rsidR="00DE6832">
              <w:rPr>
                <w:rFonts w:asciiTheme="majorHAnsi" w:hAnsiTheme="majorHAnsi" w:cstheme="majorHAnsi"/>
              </w:rPr>
              <w:t>/</w:t>
            </w:r>
          </w:p>
          <w:p w:rsidR="00DE6832" w:rsidRPr="00DE6832" w:rsidRDefault="00DE6832" w:rsidP="00DE6832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E683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Nie dotyczy</w:t>
            </w:r>
            <w:r>
              <w:rPr>
                <w:rStyle w:val="Odwoanieprzypisudolnego"/>
                <w:rFonts w:asciiTheme="majorHAnsi" w:hAnsiTheme="majorHAnsi" w:cstheme="majorHAnsi"/>
                <w:color w:val="auto"/>
                <w:sz w:val="22"/>
                <w:szCs w:val="22"/>
              </w:rPr>
              <w:footnoteReference w:id="3"/>
            </w:r>
            <w:r w:rsidRPr="00DE683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DE6832" w:rsidRPr="00AC5F4A" w:rsidRDefault="00AC5F4A" w:rsidP="00DE6832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  <w:r w:rsidR="00DE6832">
              <w:rPr>
                <w:rFonts w:asciiTheme="majorHAnsi" w:hAnsiTheme="majorHAnsi" w:cstheme="majorHAnsi"/>
              </w:rPr>
              <w:t>/</w:t>
            </w:r>
          </w:p>
          <w:p w:rsidR="00AC5F4A" w:rsidRPr="00AC5F4A" w:rsidRDefault="00DE6832" w:rsidP="00DE6832">
            <w:pPr>
              <w:jc w:val="center"/>
              <w:rPr>
                <w:rFonts w:asciiTheme="majorHAnsi" w:hAnsiTheme="majorHAnsi" w:cstheme="majorHAnsi"/>
              </w:rPr>
            </w:pPr>
            <w:r w:rsidRPr="00DE6832">
              <w:rPr>
                <w:rFonts w:asciiTheme="majorHAnsi" w:hAnsiTheme="majorHAnsi" w:cstheme="majorHAnsi"/>
              </w:rPr>
              <w:t>Nie dotyczy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4"/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DE6832" w:rsidRPr="00AC5F4A" w:rsidRDefault="00AC5F4A" w:rsidP="00DE6832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  <w:r w:rsidR="00DE6832">
              <w:rPr>
                <w:rFonts w:asciiTheme="majorHAnsi" w:hAnsiTheme="majorHAnsi" w:cstheme="majorHAnsi"/>
              </w:rPr>
              <w:t>/</w:t>
            </w:r>
          </w:p>
          <w:p w:rsidR="00AC5F4A" w:rsidRPr="00AC5F4A" w:rsidRDefault="00DE6832" w:rsidP="00DE6832">
            <w:pPr>
              <w:jc w:val="center"/>
              <w:rPr>
                <w:rFonts w:asciiTheme="majorHAnsi" w:hAnsiTheme="majorHAnsi" w:cstheme="majorHAnsi"/>
              </w:rPr>
            </w:pPr>
            <w:r w:rsidRPr="00DE6832">
              <w:rPr>
                <w:rFonts w:asciiTheme="majorHAnsi" w:hAnsiTheme="majorHAnsi" w:cstheme="majorHAnsi"/>
              </w:rPr>
              <w:t>Nie dotyczy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5"/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</w:t>
            </w:r>
            <w:r w:rsidRPr="00AC5F4A">
              <w:rPr>
                <w:rFonts w:asciiTheme="majorHAnsi" w:hAnsiTheme="majorHAnsi" w:cstheme="majorHAnsi"/>
                <w:b/>
              </w:rPr>
              <w:lastRenderedPageBreak/>
              <w:t xml:space="preserve">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 xml:space="preserve">Wpływ operacji na realizację wszystkich zasad horyzontalnych (zrównoważony rozwój, równość szans </w:t>
            </w:r>
            <w:r w:rsidRPr="00AC5F4A">
              <w:rPr>
                <w:rFonts w:asciiTheme="majorHAnsi" w:hAnsiTheme="majorHAnsi" w:cstheme="majorHAnsi"/>
              </w:rPr>
              <w:lastRenderedPageBreak/>
              <w:t>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</w:t>
      </w:r>
      <w:r w:rsidRPr="00BC2833">
        <w:rPr>
          <w:rFonts w:asciiTheme="majorHAnsi" w:hAnsiTheme="majorHAnsi" w:cstheme="majorHAnsi"/>
        </w:rPr>
        <w:lastRenderedPageBreak/>
        <w:t>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5"/>
        <w:gridCol w:w="3059"/>
        <w:gridCol w:w="9413"/>
        <w:gridCol w:w="1261"/>
      </w:tblGrid>
      <w:tr w:rsidR="00AD2A26" w:rsidRPr="00AD2A26" w:rsidTr="00402CD0">
        <w:tc>
          <w:tcPr>
            <w:tcW w:w="48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59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413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02CD0">
        <w:tc>
          <w:tcPr>
            <w:tcW w:w="14218" w:type="dxa"/>
            <w:gridSpan w:val="4"/>
            <w:shd w:val="clear" w:color="auto" w:fill="323E4F" w:themeFill="text2" w:themeFillShade="BF"/>
          </w:tcPr>
          <w:p w:rsidR="00837713" w:rsidRPr="00837713" w:rsidRDefault="00837713" w:rsidP="00837713">
            <w:pPr>
              <w:pStyle w:val="Default"/>
              <w:jc w:val="center"/>
              <w:rPr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837713">
              <w:rPr>
                <w:color w:val="FFFFFF" w:themeColor="background1"/>
                <w:sz w:val="22"/>
                <w:szCs w:val="22"/>
              </w:rPr>
              <w:t xml:space="preserve">SPECYFICZNE – TYP nr 7 (Dziedzictwo kulturowe) </w:t>
            </w:r>
          </w:p>
        </w:tc>
      </w:tr>
      <w:tr w:rsidR="00AD2A26" w:rsidRPr="00AD2A26" w:rsidTr="00402CD0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064831" w:rsidRPr="00064831" w:rsidRDefault="00064831" w:rsidP="00064831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064831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Poprawa stanu obiektów dziedzictwa kulturowego </w:t>
            </w:r>
          </w:p>
          <w:p w:rsidR="002D5E5E" w:rsidRPr="002D5E5E" w:rsidRDefault="002D5E5E" w:rsidP="002D5E5E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413" w:type="dxa"/>
          </w:tcPr>
          <w:p w:rsidR="00AD2A26" w:rsidRPr="00064831" w:rsidRDefault="00064831" w:rsidP="00064831">
            <w:pPr>
              <w:jc w:val="both"/>
              <w:rPr>
                <w:rFonts w:asciiTheme="majorHAnsi" w:hAnsiTheme="majorHAnsi" w:cstheme="majorHAnsi"/>
              </w:rPr>
            </w:pPr>
            <w:r w:rsidRPr="00064831">
              <w:rPr>
                <w:rFonts w:asciiTheme="majorHAnsi" w:hAnsiTheme="majorHAnsi" w:cstheme="majorHAnsi"/>
              </w:rPr>
              <w:t xml:space="preserve">Realizacja operacji przyczyni się do poprawy stanu zachowania dziedzictwa m.in. poprzez lepszą ochronę obiektów dziedzictwa kulturowego lub stworzenie możliwości jego bezpiecznej eksploatacji przez ogół społeczeństwa, w tym osoby niepełnosprawne. </w:t>
            </w:r>
          </w:p>
        </w:tc>
        <w:tc>
          <w:tcPr>
            <w:tcW w:w="1261" w:type="dxa"/>
          </w:tcPr>
          <w:p w:rsidR="00AD2A26" w:rsidRPr="00AD2A26" w:rsidRDefault="002D5E5E" w:rsidP="00402CD0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>T</w:t>
            </w:r>
            <w:r w:rsidR="00402CD0">
              <w:rPr>
                <w:rFonts w:asciiTheme="majorHAnsi" w:hAnsiTheme="majorHAnsi" w:cstheme="majorHAnsi"/>
              </w:rPr>
              <w:t>ak/Nie</w:t>
            </w:r>
          </w:p>
        </w:tc>
      </w:tr>
      <w:tr w:rsidR="00AD2A26" w:rsidRPr="00AD2A26" w:rsidTr="00402CD0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064831" w:rsidRPr="00064831" w:rsidRDefault="00064831" w:rsidP="00064831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064831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Ranga obiektu </w:t>
            </w:r>
          </w:p>
          <w:p w:rsidR="00AD2A26" w:rsidRPr="002D5E5E" w:rsidRDefault="00AD2A26" w:rsidP="002D5E5E">
            <w:pPr>
              <w:pStyle w:val="Default"/>
            </w:pPr>
          </w:p>
        </w:tc>
        <w:tc>
          <w:tcPr>
            <w:tcW w:w="9413" w:type="dxa"/>
          </w:tcPr>
          <w:p w:rsidR="00064831" w:rsidRPr="00064831" w:rsidRDefault="00064831" w:rsidP="00064831">
            <w:pPr>
              <w:jc w:val="both"/>
              <w:rPr>
                <w:rFonts w:asciiTheme="majorHAnsi" w:hAnsiTheme="majorHAnsi" w:cstheme="majorHAnsi"/>
              </w:rPr>
            </w:pPr>
            <w:r w:rsidRPr="00064831">
              <w:rPr>
                <w:rFonts w:asciiTheme="majorHAnsi" w:hAnsiTheme="majorHAnsi" w:cstheme="majorHAnsi"/>
              </w:rPr>
              <w:t xml:space="preserve">Projekt dotyczy obiektu wpisanego do ewidencji/rejestru zabytków. </w:t>
            </w:r>
          </w:p>
          <w:p w:rsidR="00AD2A26" w:rsidRPr="00C11EEF" w:rsidRDefault="00AD2A26" w:rsidP="0006483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:rsidR="00064831" w:rsidRPr="00AD2A26" w:rsidRDefault="002D5E5E" w:rsidP="00C11EEF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>T</w:t>
            </w:r>
            <w:r w:rsidR="00C11EEF">
              <w:rPr>
                <w:rFonts w:asciiTheme="majorHAnsi" w:hAnsiTheme="majorHAnsi" w:cstheme="majorHAnsi"/>
              </w:rPr>
              <w:t>ak/Nie</w:t>
            </w:r>
            <w:r w:rsidR="00064831">
              <w:rPr>
                <w:rFonts w:asciiTheme="majorHAnsi" w:hAnsiTheme="majorHAnsi" w:cstheme="majorHAnsi"/>
              </w:rPr>
              <w:t>/</w:t>
            </w:r>
          </w:p>
          <w:p w:rsidR="00AD2A26" w:rsidRPr="00064831" w:rsidRDefault="00064831" w:rsidP="00064831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6483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Nie dotyczy </w:t>
            </w:r>
          </w:p>
        </w:tc>
      </w:tr>
      <w:tr w:rsidR="00064831" w:rsidRPr="00AD2A26" w:rsidTr="00402CD0">
        <w:trPr>
          <w:trHeight w:val="431"/>
        </w:trPr>
        <w:tc>
          <w:tcPr>
            <w:tcW w:w="485" w:type="dxa"/>
          </w:tcPr>
          <w:p w:rsidR="00064831" w:rsidRPr="00AD2A26" w:rsidRDefault="00064831" w:rsidP="0006483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059" w:type="dxa"/>
          </w:tcPr>
          <w:p w:rsidR="00064831" w:rsidRPr="00402CD0" w:rsidRDefault="00064831" w:rsidP="00402CD0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064831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Potencjał kulturowy </w:t>
            </w:r>
          </w:p>
        </w:tc>
        <w:tc>
          <w:tcPr>
            <w:tcW w:w="9413" w:type="dxa"/>
          </w:tcPr>
          <w:p w:rsidR="00064831" w:rsidRPr="00064831" w:rsidRDefault="00064831" w:rsidP="00064831">
            <w:pPr>
              <w:jc w:val="both"/>
              <w:rPr>
                <w:rFonts w:asciiTheme="majorHAnsi" w:hAnsiTheme="majorHAnsi" w:cstheme="majorHAnsi"/>
              </w:rPr>
            </w:pPr>
            <w:r w:rsidRPr="00064831">
              <w:rPr>
                <w:rFonts w:asciiTheme="majorHAnsi" w:hAnsiTheme="majorHAnsi" w:cstheme="majorHAnsi"/>
              </w:rPr>
              <w:t xml:space="preserve">Realizacja operacji przyczyni się do zróżnicowania oferty kulturalnej w celu wzmocnienia znaczenia kultury w rozwoju społeczno-gospodarczym obszaru objętego wsparciem. </w:t>
            </w:r>
          </w:p>
        </w:tc>
        <w:tc>
          <w:tcPr>
            <w:tcW w:w="1261" w:type="dxa"/>
          </w:tcPr>
          <w:p w:rsidR="00064831" w:rsidRPr="002D5E5E" w:rsidRDefault="00064831" w:rsidP="00C11EEF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</w:rPr>
              <w:t>ak/Nie</w:t>
            </w:r>
          </w:p>
        </w:tc>
      </w:tr>
      <w:tr w:rsidR="00064831" w:rsidRPr="00AD2A26" w:rsidTr="00402CD0">
        <w:trPr>
          <w:trHeight w:val="431"/>
        </w:trPr>
        <w:tc>
          <w:tcPr>
            <w:tcW w:w="485" w:type="dxa"/>
          </w:tcPr>
          <w:p w:rsidR="00064831" w:rsidRPr="00AD2A26" w:rsidRDefault="00064831" w:rsidP="0046754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059" w:type="dxa"/>
          </w:tcPr>
          <w:p w:rsidR="00064831" w:rsidRPr="00064831" w:rsidRDefault="00064831" w:rsidP="00402CD0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064831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Operacja realizowana jest w obszarze kultury oraz nie przekracza wysokości 2 mln euro kosztów kwalikowalnych </w:t>
            </w:r>
          </w:p>
        </w:tc>
        <w:tc>
          <w:tcPr>
            <w:tcW w:w="9413" w:type="dxa"/>
          </w:tcPr>
          <w:p w:rsidR="00064831" w:rsidRPr="00064831" w:rsidRDefault="00064831" w:rsidP="00064831">
            <w:pPr>
              <w:jc w:val="both"/>
              <w:rPr>
                <w:rFonts w:asciiTheme="majorHAnsi" w:hAnsiTheme="majorHAnsi" w:cstheme="majorHAnsi"/>
              </w:rPr>
            </w:pPr>
            <w:r w:rsidRPr="00064831">
              <w:rPr>
                <w:rFonts w:asciiTheme="majorHAnsi" w:hAnsiTheme="majorHAnsi" w:cstheme="majorHAnsi"/>
              </w:rPr>
              <w:t xml:space="preserve">Operacja dotyczy inwestycji w zakresie kultury, a jej wartość ogranicza się do infrastruktury małej skali (operacje o wartości nie większej niż 2 mln euro kosztów kwalifikowalnych). </w:t>
            </w:r>
          </w:p>
          <w:p w:rsidR="00064831" w:rsidRPr="00402CD0" w:rsidRDefault="00064831" w:rsidP="0006483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61" w:type="dxa"/>
          </w:tcPr>
          <w:p w:rsidR="00064831" w:rsidRPr="002D5E5E" w:rsidRDefault="00064831" w:rsidP="00C11EEF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</w:rPr>
              <w:t>ak/Nie</w:t>
            </w:r>
          </w:p>
        </w:tc>
      </w:tr>
      <w:tr w:rsidR="00064831" w:rsidRPr="00AD2A26" w:rsidTr="00402CD0">
        <w:trPr>
          <w:trHeight w:val="431"/>
        </w:trPr>
        <w:tc>
          <w:tcPr>
            <w:tcW w:w="485" w:type="dxa"/>
          </w:tcPr>
          <w:p w:rsidR="00064831" w:rsidRPr="00AD2A26" w:rsidRDefault="00064831" w:rsidP="0046754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059" w:type="dxa"/>
          </w:tcPr>
          <w:p w:rsidR="00064831" w:rsidRPr="00402CD0" w:rsidRDefault="00064831" w:rsidP="00402CD0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064831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Analiza popytu </w:t>
            </w:r>
          </w:p>
        </w:tc>
        <w:tc>
          <w:tcPr>
            <w:tcW w:w="9413" w:type="dxa"/>
          </w:tcPr>
          <w:p w:rsidR="00064831" w:rsidRPr="00064831" w:rsidRDefault="00064831" w:rsidP="00064831">
            <w:pPr>
              <w:jc w:val="both"/>
              <w:rPr>
                <w:rFonts w:asciiTheme="majorHAnsi" w:hAnsiTheme="majorHAnsi" w:cstheme="majorHAnsi"/>
              </w:rPr>
            </w:pPr>
            <w:r w:rsidRPr="00064831">
              <w:rPr>
                <w:rFonts w:asciiTheme="majorHAnsi" w:hAnsiTheme="majorHAnsi" w:cstheme="majorHAnsi"/>
              </w:rPr>
              <w:t xml:space="preserve">Wnioskodawca przeprowadził analizę popytu potwierdzającą zapotrzebowanie grupy docelowej, w tym wskazano szacunkową liczbę osób odwiedzających/korzystających z oferty obiektu/-ów kultury i dziedzictwa kulturowego w wyniku realizacji operacji. </w:t>
            </w:r>
          </w:p>
        </w:tc>
        <w:tc>
          <w:tcPr>
            <w:tcW w:w="1261" w:type="dxa"/>
          </w:tcPr>
          <w:p w:rsidR="00064831" w:rsidRPr="002D5E5E" w:rsidRDefault="00064831" w:rsidP="00C11EEF">
            <w:pPr>
              <w:jc w:val="center"/>
              <w:rPr>
                <w:rFonts w:asciiTheme="majorHAnsi" w:hAnsiTheme="majorHAnsi" w:cstheme="majorHAnsi"/>
              </w:rPr>
            </w:pPr>
            <w:r w:rsidRPr="002D5E5E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</w:rPr>
              <w:t>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p w:rsidR="00762543" w:rsidRDefault="00762543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Pr="00AC5F4A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sectPr w:rsidR="00EF7934" w:rsidRPr="00AC5F4A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87" w:rsidRDefault="00181F87" w:rsidP="00364A66">
      <w:pPr>
        <w:spacing w:after="0" w:line="240" w:lineRule="auto"/>
      </w:pPr>
      <w:r>
        <w:separator/>
      </w:r>
    </w:p>
  </w:endnote>
  <w:endnote w:type="continuationSeparator" w:id="0">
    <w:p w:rsidR="00181F87" w:rsidRDefault="00181F87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429392"/>
      <w:docPartObj>
        <w:docPartGallery w:val="Page Numbers (Bottom of Page)"/>
        <w:docPartUnique/>
      </w:docPartObj>
    </w:sdtPr>
    <w:sdtEndPr/>
    <w:sdtContent>
      <w:p w:rsidR="00326EC7" w:rsidRDefault="00BE7D11">
        <w:pPr>
          <w:pStyle w:val="Stopka"/>
          <w:jc w:val="center"/>
        </w:pPr>
        <w:r>
          <w:fldChar w:fldCharType="begin"/>
        </w:r>
        <w:r w:rsidR="00326EC7">
          <w:instrText>PAGE   \* MERGEFORMAT</w:instrText>
        </w:r>
        <w:r>
          <w:fldChar w:fldCharType="separate"/>
        </w:r>
        <w:r w:rsidR="00837713">
          <w:rPr>
            <w:noProof/>
          </w:rPr>
          <w:t>15</w:t>
        </w:r>
        <w:r>
          <w:fldChar w:fldCharType="end"/>
        </w:r>
      </w:p>
    </w:sdtContent>
  </w:sdt>
  <w:p w:rsidR="00326EC7" w:rsidRDefault="00326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87" w:rsidRDefault="00181F87" w:rsidP="00364A66">
      <w:pPr>
        <w:spacing w:after="0" w:line="240" w:lineRule="auto"/>
      </w:pPr>
      <w:r>
        <w:separator/>
      </w:r>
    </w:p>
  </w:footnote>
  <w:footnote w:type="continuationSeparator" w:id="0">
    <w:p w:rsidR="00181F87" w:rsidRDefault="00181F87" w:rsidP="00364A66">
      <w:pPr>
        <w:spacing w:after="0" w:line="240" w:lineRule="auto"/>
      </w:pPr>
      <w:r>
        <w:continuationSeparator/>
      </w:r>
    </w:p>
  </w:footnote>
  <w:footnote w:id="1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3">
    <w:p w:rsidR="00DE6832" w:rsidRDefault="00DE6832" w:rsidP="00DE6832">
      <w:pPr>
        <w:pStyle w:val="Tekstprzypisudolnego"/>
        <w:jc w:val="both"/>
      </w:pPr>
      <w:r w:rsidRPr="00DE6832">
        <w:rPr>
          <w:rFonts w:asciiTheme="majorHAnsi" w:hAnsiTheme="majorHAnsi" w:cstheme="majorHAnsi"/>
        </w:rPr>
        <w:footnoteRef/>
      </w:r>
      <w:r w:rsidRPr="00DE6832">
        <w:rPr>
          <w:rFonts w:asciiTheme="majorHAnsi" w:hAnsiTheme="majorHAnsi" w:cstheme="majorHAnsi"/>
        </w:rPr>
        <w:t xml:space="preserve"> Opcja „Nie dotyczy” uzależniona od zapisów dokumentacji konkursowej, w związku z częściowym zawieszeniem Wytycznych Ministra Inwestycji i Rozwoju w zakresie zagadnień związanych z przygotowaniem projektów inwestycyjnych, w tym projektów generujących dochód i projektów hybrydowych na lata 2014-2020</w:t>
      </w:r>
      <w:r>
        <w:rPr>
          <w:i/>
          <w:iCs/>
        </w:rPr>
        <w:t xml:space="preserve"> </w:t>
      </w:r>
      <w:r>
        <w:t xml:space="preserve"> </w:t>
      </w:r>
    </w:p>
  </w:footnote>
  <w:footnote w:id="4">
    <w:p w:rsidR="00DE6832" w:rsidRDefault="00DE6832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5">
    <w:p w:rsidR="00DE6832" w:rsidRDefault="00DE6832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9" w:rsidRDefault="003D2039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2039" w:rsidRDefault="003D2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A0"/>
    <w:rsid w:val="00064831"/>
    <w:rsid w:val="00070C5E"/>
    <w:rsid w:val="00082B24"/>
    <w:rsid w:val="000A21FE"/>
    <w:rsid w:val="000B430C"/>
    <w:rsid w:val="000D4141"/>
    <w:rsid w:val="000D544B"/>
    <w:rsid w:val="000E7C8E"/>
    <w:rsid w:val="001117E6"/>
    <w:rsid w:val="00127023"/>
    <w:rsid w:val="00181F87"/>
    <w:rsid w:val="00192812"/>
    <w:rsid w:val="00196773"/>
    <w:rsid w:val="001A102E"/>
    <w:rsid w:val="001C28B1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C3B25"/>
    <w:rsid w:val="002D37A8"/>
    <w:rsid w:val="002D5E5E"/>
    <w:rsid w:val="002E210D"/>
    <w:rsid w:val="003108DE"/>
    <w:rsid w:val="00325F31"/>
    <w:rsid w:val="00326EC7"/>
    <w:rsid w:val="00336C16"/>
    <w:rsid w:val="00345CA3"/>
    <w:rsid w:val="00364A66"/>
    <w:rsid w:val="003825A0"/>
    <w:rsid w:val="003A68C4"/>
    <w:rsid w:val="003B6A08"/>
    <w:rsid w:val="003C169D"/>
    <w:rsid w:val="003D2039"/>
    <w:rsid w:val="003E67FA"/>
    <w:rsid w:val="00402CD0"/>
    <w:rsid w:val="004049F3"/>
    <w:rsid w:val="00406971"/>
    <w:rsid w:val="00427C02"/>
    <w:rsid w:val="004556A5"/>
    <w:rsid w:val="004616A2"/>
    <w:rsid w:val="00466E8D"/>
    <w:rsid w:val="00467541"/>
    <w:rsid w:val="0048377C"/>
    <w:rsid w:val="0053014A"/>
    <w:rsid w:val="0054477F"/>
    <w:rsid w:val="00557689"/>
    <w:rsid w:val="00566CC8"/>
    <w:rsid w:val="00594E5A"/>
    <w:rsid w:val="005B5A7F"/>
    <w:rsid w:val="005C61FB"/>
    <w:rsid w:val="005F5122"/>
    <w:rsid w:val="005F7413"/>
    <w:rsid w:val="006002F6"/>
    <w:rsid w:val="0060556E"/>
    <w:rsid w:val="006153F7"/>
    <w:rsid w:val="0061572A"/>
    <w:rsid w:val="00622220"/>
    <w:rsid w:val="006478EF"/>
    <w:rsid w:val="0065113F"/>
    <w:rsid w:val="0068078E"/>
    <w:rsid w:val="006930A6"/>
    <w:rsid w:val="006A0A9C"/>
    <w:rsid w:val="006C3019"/>
    <w:rsid w:val="006D73DE"/>
    <w:rsid w:val="006E4EFA"/>
    <w:rsid w:val="006F2722"/>
    <w:rsid w:val="006F3766"/>
    <w:rsid w:val="007039C4"/>
    <w:rsid w:val="00705824"/>
    <w:rsid w:val="00716A2E"/>
    <w:rsid w:val="00756651"/>
    <w:rsid w:val="00760049"/>
    <w:rsid w:val="00762543"/>
    <w:rsid w:val="007C045C"/>
    <w:rsid w:val="007D7F4D"/>
    <w:rsid w:val="007F1CB6"/>
    <w:rsid w:val="00820BDE"/>
    <w:rsid w:val="00830286"/>
    <w:rsid w:val="00837713"/>
    <w:rsid w:val="00850DDD"/>
    <w:rsid w:val="00870C5A"/>
    <w:rsid w:val="00876B60"/>
    <w:rsid w:val="00891B6B"/>
    <w:rsid w:val="008A6C72"/>
    <w:rsid w:val="008A7C64"/>
    <w:rsid w:val="008B6A65"/>
    <w:rsid w:val="008C57CE"/>
    <w:rsid w:val="008E281B"/>
    <w:rsid w:val="009367C7"/>
    <w:rsid w:val="00936DBE"/>
    <w:rsid w:val="0096234E"/>
    <w:rsid w:val="009873CE"/>
    <w:rsid w:val="00987FE7"/>
    <w:rsid w:val="009927F4"/>
    <w:rsid w:val="009B0B10"/>
    <w:rsid w:val="009F71F6"/>
    <w:rsid w:val="00A27525"/>
    <w:rsid w:val="00A42F57"/>
    <w:rsid w:val="00A8279C"/>
    <w:rsid w:val="00A8579D"/>
    <w:rsid w:val="00AA1275"/>
    <w:rsid w:val="00AC5F4A"/>
    <w:rsid w:val="00AD2A26"/>
    <w:rsid w:val="00AF43FC"/>
    <w:rsid w:val="00B027FB"/>
    <w:rsid w:val="00B07B5A"/>
    <w:rsid w:val="00B1365B"/>
    <w:rsid w:val="00B5379E"/>
    <w:rsid w:val="00B578B6"/>
    <w:rsid w:val="00B77901"/>
    <w:rsid w:val="00B945DA"/>
    <w:rsid w:val="00BC2833"/>
    <w:rsid w:val="00BE3B97"/>
    <w:rsid w:val="00BE6D4A"/>
    <w:rsid w:val="00BE7D11"/>
    <w:rsid w:val="00C11EEF"/>
    <w:rsid w:val="00C20BD1"/>
    <w:rsid w:val="00C2733A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E6832"/>
    <w:rsid w:val="00DF4CFA"/>
    <w:rsid w:val="00E15AC6"/>
    <w:rsid w:val="00E44A60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A0F71"/>
    <w:rsid w:val="00FC1621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889DF"/>
  <w15:docId w15:val="{7D7DC848-23A4-4900-95CE-E7ED1EF1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  <w:style w:type="paragraph" w:customStyle="1" w:styleId="Default">
    <w:name w:val="Default"/>
    <w:rsid w:val="005F5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D7254-A89D-4A73-804B-6A2A21AE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3050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mstadnik</cp:lastModifiedBy>
  <cp:revision>15</cp:revision>
  <cp:lastPrinted>2019-09-09T10:36:00Z</cp:lastPrinted>
  <dcterms:created xsi:type="dcterms:W3CDTF">2020-01-21T13:15:00Z</dcterms:created>
  <dcterms:modified xsi:type="dcterms:W3CDTF">2021-03-30T11:43:00Z</dcterms:modified>
</cp:coreProperties>
</file>